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1E913B23" w:rsidR="00C416FF" w:rsidRDefault="00C416FF" w:rsidP="00C416FF">
      <w:pPr>
        <w:pStyle w:val="3GPPHeader"/>
        <w:spacing w:after="0"/>
      </w:pPr>
      <w:r w:rsidRPr="004B2197">
        <w:t>3GPP TSG-RAN WG2 Meeting #12</w:t>
      </w:r>
      <w:r w:rsidR="000C3D60" w:rsidRPr="004B2197">
        <w:t>6</w:t>
      </w:r>
      <w:r w:rsidRPr="004B2197">
        <w:tab/>
        <w:t>R2-2</w:t>
      </w:r>
      <w:r w:rsidR="000C3D60" w:rsidRPr="004B2197">
        <w:t>4</w:t>
      </w:r>
      <w:r w:rsidR="004B2197" w:rsidRPr="004B2197">
        <w:t>05592</w:t>
      </w:r>
    </w:p>
    <w:p w14:paraId="1735A057" w14:textId="43143AC3" w:rsidR="00CD3DC8" w:rsidRPr="00922EA7" w:rsidRDefault="000C3D60" w:rsidP="00C416FF">
      <w:pPr>
        <w:pStyle w:val="3GPPHeader"/>
        <w:rPr>
          <w:rFonts w:eastAsia="맑은 고딕"/>
          <w:lang w:eastAsia="ko-KR"/>
        </w:rPr>
      </w:pPr>
      <w:r w:rsidRPr="000C3D60">
        <w:t>Fukuoka, Japan, 20 – 24 May 2024</w:t>
      </w:r>
      <w:r w:rsidR="00CD3DC8" w:rsidRPr="00922EA7">
        <w:rPr>
          <w:bCs/>
        </w:rPr>
        <w:tab/>
      </w:r>
    </w:p>
    <w:p w14:paraId="7F54F68E" w14:textId="397C7630"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B93082">
        <w:rPr>
          <w:rFonts w:cs="Arial"/>
          <w:b/>
          <w:bCs/>
          <w:sz w:val="24"/>
        </w:rPr>
        <w:t>8.3.2.1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3A16D24"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E5385A">
        <w:rPr>
          <w:rFonts w:ascii="Arial" w:hAnsi="Arial" w:cs="Arial"/>
          <w:b/>
          <w:bCs/>
          <w:sz w:val="24"/>
        </w:rPr>
        <w:t>Considerations on Simulation for AI/ML Mobility</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7DC0F361" w14:textId="324C5CE9" w:rsidR="00E04CB4" w:rsidRDefault="00CA3A49" w:rsidP="00E04CB4">
      <w:pPr>
        <w:spacing w:before="240"/>
        <w:rPr>
          <w:lang w:eastAsia="ko-KR"/>
        </w:rPr>
      </w:pPr>
      <w:r>
        <w:rPr>
          <w:lang w:eastAsia="ko-KR"/>
        </w:rPr>
        <w:t>In RAN2#125bis meeting, RAN2 made the following agreements:</w:t>
      </w:r>
    </w:p>
    <w:p w14:paraId="12808D18" w14:textId="77777777" w:rsidR="00E04CB4" w:rsidRPr="00FD6B6D" w:rsidRDefault="00E04CB4" w:rsidP="00E04CB4">
      <w:pPr>
        <w:pStyle w:val="Doc-text2"/>
        <w:pBdr>
          <w:top w:val="single" w:sz="4" w:space="1" w:color="auto"/>
          <w:left w:val="single" w:sz="4" w:space="4" w:color="auto"/>
          <w:bottom w:val="single" w:sz="4" w:space="1" w:color="auto"/>
          <w:right w:val="single" w:sz="4" w:space="4" w:color="auto"/>
        </w:pBdr>
        <w:rPr>
          <w:b/>
          <w:bCs/>
        </w:rPr>
      </w:pPr>
      <w:r w:rsidRPr="00FD6B6D">
        <w:rPr>
          <w:b/>
          <w:bCs/>
        </w:rPr>
        <w:t>Agreements</w:t>
      </w:r>
    </w:p>
    <w:p w14:paraId="68B19B25" w14:textId="77777777" w:rsidR="00E04CB4" w:rsidRDefault="00E04CB4" w:rsidP="00E04CB4">
      <w:pPr>
        <w:pStyle w:val="Doc-text2"/>
        <w:numPr>
          <w:ilvl w:val="0"/>
          <w:numId w:val="36"/>
        </w:numPr>
        <w:pBdr>
          <w:top w:val="single" w:sz="4" w:space="1" w:color="auto"/>
          <w:left w:val="single" w:sz="4" w:space="4" w:color="auto"/>
          <w:bottom w:val="single" w:sz="4" w:space="1" w:color="auto"/>
          <w:right w:val="single" w:sz="4" w:space="4" w:color="auto"/>
        </w:pBdr>
      </w:pPr>
      <w:r w:rsidRPr="009376CB">
        <w:t>AI mobility SI uses synthesized datasets based on 3GPP agreed channel model and deployment for evaluation. Field data is optional</w:t>
      </w:r>
    </w:p>
    <w:p w14:paraId="0099DAF3" w14:textId="77777777" w:rsidR="00E04CB4" w:rsidRDefault="00E04CB4" w:rsidP="00E04CB4">
      <w:pPr>
        <w:pStyle w:val="Doc-text2"/>
        <w:numPr>
          <w:ilvl w:val="0"/>
          <w:numId w:val="36"/>
        </w:numPr>
        <w:pBdr>
          <w:top w:val="single" w:sz="4" w:space="1" w:color="auto"/>
          <w:left w:val="single" w:sz="4" w:space="4" w:color="auto"/>
          <w:bottom w:val="single" w:sz="4" w:space="1" w:color="auto"/>
          <w:right w:val="single" w:sz="4" w:space="4" w:color="auto"/>
        </w:pBdr>
      </w:pPr>
      <w:r w:rsidRPr="00E11359">
        <w:t>Reuse current RAN1’s simulation assumptions as much as possible by extending data generation to neighbouring cells.</w:t>
      </w:r>
    </w:p>
    <w:p w14:paraId="29713D19" w14:textId="77777777" w:rsidR="00E04CB4" w:rsidRPr="00E11359" w:rsidRDefault="00E04CB4" w:rsidP="00E04CB4">
      <w:pPr>
        <w:pStyle w:val="Doc-text2"/>
        <w:numPr>
          <w:ilvl w:val="0"/>
          <w:numId w:val="36"/>
        </w:numPr>
        <w:pBdr>
          <w:top w:val="single" w:sz="4" w:space="1" w:color="auto"/>
          <w:left w:val="single" w:sz="4" w:space="4" w:color="auto"/>
          <w:bottom w:val="single" w:sz="4" w:space="1" w:color="auto"/>
          <w:right w:val="single" w:sz="4" w:space="4" w:color="auto"/>
        </w:pBdr>
      </w:pPr>
      <w:r w:rsidRPr="005402A5">
        <w:t>Once a set of simulation parameters and assumptions per each sub-use case (e.g., propagation scenario, deployment topology, channel modelling, UE trajectories, etc.) are settled, it should be used for baseline case (i.e. without AI/ML model), training (e.g. data set generation), validation, and inference etc.</w:t>
      </w:r>
    </w:p>
    <w:p w14:paraId="7841B0FC" w14:textId="77777777" w:rsidR="00E04CB4" w:rsidRDefault="00E04CB4" w:rsidP="00E04CB4">
      <w:pPr>
        <w:pStyle w:val="Doc-comment"/>
        <w:numPr>
          <w:ilvl w:val="0"/>
          <w:numId w:val="36"/>
        </w:numPr>
        <w:pBdr>
          <w:top w:val="single" w:sz="4" w:space="1" w:color="auto"/>
          <w:left w:val="single" w:sz="4" w:space="4" w:color="auto"/>
          <w:bottom w:val="single" w:sz="4" w:space="1" w:color="auto"/>
          <w:right w:val="single" w:sz="4" w:space="4" w:color="auto"/>
        </w:pBdr>
        <w:rPr>
          <w:i w:val="0"/>
          <w:iCs/>
        </w:rPr>
      </w:pPr>
      <w:r w:rsidRPr="00E11359">
        <w:rPr>
          <w:i w:val="0"/>
          <w:iCs/>
        </w:rPr>
        <w:t>Clarify and document the use of random seeds in between the training and test dataset, simulation drops/runs at least for channel modelling and UE trajectory.</w:t>
      </w:r>
    </w:p>
    <w:p w14:paraId="0B2FB524" w14:textId="77777777" w:rsidR="00E04CB4" w:rsidRDefault="00E04CB4" w:rsidP="00E04CB4">
      <w:pPr>
        <w:pStyle w:val="Doc-comment"/>
        <w:numPr>
          <w:ilvl w:val="0"/>
          <w:numId w:val="36"/>
        </w:numPr>
        <w:pBdr>
          <w:top w:val="single" w:sz="4" w:space="1" w:color="auto"/>
          <w:left w:val="single" w:sz="4" w:space="4" w:color="auto"/>
          <w:bottom w:val="single" w:sz="4" w:space="1" w:color="auto"/>
          <w:right w:val="single" w:sz="4" w:space="4" w:color="auto"/>
        </w:pBdr>
        <w:rPr>
          <w:i w:val="0"/>
          <w:iCs/>
        </w:rPr>
      </w:pPr>
      <w:r>
        <w:rPr>
          <w:i w:val="0"/>
          <w:iCs/>
        </w:rPr>
        <w:t>A</w:t>
      </w:r>
      <w:r w:rsidRPr="009611C1">
        <w:rPr>
          <w:i w:val="0"/>
          <w:iCs/>
        </w:rPr>
        <w:t>lignment of simulation assumptions is necessary, but explicit result calibration (e.g., as in TR 36.839) is not expected. Companies can independently report their gains achieved by AI/ML with detailed evaluation descriptions for cross-checking purposes.</w:t>
      </w:r>
    </w:p>
    <w:p w14:paraId="4044CC11" w14:textId="77777777" w:rsidR="00E04CB4" w:rsidRDefault="00E04CB4" w:rsidP="00E04CB4">
      <w:pPr>
        <w:pStyle w:val="Doc-text2"/>
        <w:pBdr>
          <w:top w:val="single" w:sz="4" w:space="1" w:color="auto"/>
          <w:left w:val="single" w:sz="4" w:space="4" w:color="auto"/>
          <w:bottom w:val="single" w:sz="4" w:space="1" w:color="auto"/>
          <w:right w:val="single" w:sz="4" w:space="4" w:color="auto"/>
        </w:pBdr>
      </w:pPr>
      <w:r>
        <w:t>6</w:t>
      </w:r>
      <w:r>
        <w:tab/>
        <w:t>For FR1, band n77/n78 is considered with 4GHz as the central frequency.  FFS any other band</w:t>
      </w:r>
    </w:p>
    <w:p w14:paraId="2A55858A" w14:textId="77777777" w:rsidR="00E04CB4" w:rsidRDefault="00E04CB4" w:rsidP="00E04CB4">
      <w:pPr>
        <w:pStyle w:val="Doc-text2"/>
        <w:pBdr>
          <w:top w:val="single" w:sz="4" w:space="1" w:color="auto"/>
          <w:left w:val="single" w:sz="4" w:space="4" w:color="auto"/>
          <w:bottom w:val="single" w:sz="4" w:space="1" w:color="auto"/>
          <w:right w:val="single" w:sz="4" w:space="4" w:color="auto"/>
        </w:pBdr>
      </w:pPr>
      <w:r>
        <w:t>7</w:t>
      </w:r>
      <w:r>
        <w:tab/>
        <w:t>For FR2, only FR2-1 is considered, e.g., band n257. 30GHz central frequency can be adopted to reuse RAN1’s work as much as possible.  FFS any other band</w:t>
      </w:r>
    </w:p>
    <w:p w14:paraId="2DF0BF0C" w14:textId="77777777" w:rsidR="00E04CB4" w:rsidRDefault="00E04CB4" w:rsidP="00E04CB4">
      <w:pPr>
        <w:pStyle w:val="Doc-comment"/>
        <w:pBdr>
          <w:top w:val="single" w:sz="4" w:space="1" w:color="auto"/>
          <w:left w:val="single" w:sz="4" w:space="4" w:color="auto"/>
          <w:bottom w:val="single" w:sz="4" w:space="1" w:color="auto"/>
          <w:right w:val="single" w:sz="4" w:space="4" w:color="auto"/>
        </w:pBdr>
      </w:pPr>
      <w:r>
        <w:t>8</w:t>
      </w:r>
      <w:r>
        <w:tab/>
        <w:t xml:space="preserve">focus </w:t>
      </w:r>
      <w:r w:rsidRPr="005402A5">
        <w:t xml:space="preserve"> on Urban Macro (UMa) </w:t>
      </w:r>
      <w:r>
        <w:t xml:space="preserve">for FR1 and Umi for FR2 </w:t>
      </w:r>
    </w:p>
    <w:p w14:paraId="07DE06E1" w14:textId="77777777" w:rsidR="00E04CB4" w:rsidRDefault="00E04CB4" w:rsidP="00E04CB4">
      <w:pPr>
        <w:pStyle w:val="Doc-text2"/>
        <w:pBdr>
          <w:top w:val="single" w:sz="4" w:space="1" w:color="auto"/>
          <w:left w:val="single" w:sz="4" w:space="4" w:color="auto"/>
          <w:bottom w:val="single" w:sz="4" w:space="1" w:color="auto"/>
          <w:right w:val="single" w:sz="4" w:space="4" w:color="auto"/>
        </w:pBdr>
      </w:pPr>
      <w:r>
        <w:t>9</w:t>
      </w:r>
      <w:r>
        <w:tab/>
      </w:r>
      <w:r w:rsidRPr="005402A5">
        <w:t xml:space="preserve">RAN2 takes hexagonal regular topology as the starting point. </w:t>
      </w:r>
    </w:p>
    <w:p w14:paraId="6BBA9F35" w14:textId="77777777" w:rsidR="00E04CB4" w:rsidRDefault="00E04CB4" w:rsidP="00E04CB4">
      <w:pPr>
        <w:pStyle w:val="Doc-text2"/>
        <w:pBdr>
          <w:top w:val="single" w:sz="4" w:space="1" w:color="auto"/>
          <w:left w:val="single" w:sz="4" w:space="4" w:color="auto"/>
          <w:bottom w:val="single" w:sz="4" w:space="1" w:color="auto"/>
          <w:right w:val="single" w:sz="4" w:space="4" w:color="auto"/>
        </w:pBdr>
      </w:pPr>
      <w:r>
        <w:t>10</w:t>
      </w:r>
      <w:r>
        <w:tab/>
      </w:r>
      <w:r w:rsidRPr="00E951BD">
        <w:t>Take baseline simulation assumptions from Table 6.3.1-1 in TR 38.843</w:t>
      </w:r>
      <w:r>
        <w:t xml:space="preserve"> for FR2</w:t>
      </w:r>
      <w:r w:rsidRPr="00E951BD">
        <w:t xml:space="preserve"> as the starting point for channel modelling, e.g., BS/UE antenna configuration, BS Tx power, and BS/UE antenna height. UE rotation is excluded in the initial phase of evaluation.</w:t>
      </w:r>
    </w:p>
    <w:p w14:paraId="717A9A4E" w14:textId="77777777" w:rsidR="00E04CB4" w:rsidRDefault="00E04CB4" w:rsidP="00E04CB4">
      <w:pPr>
        <w:pStyle w:val="Doc-text2"/>
        <w:pBdr>
          <w:top w:val="single" w:sz="4" w:space="1" w:color="auto"/>
          <w:left w:val="single" w:sz="4" w:space="4" w:color="auto"/>
          <w:bottom w:val="single" w:sz="4" w:space="1" w:color="auto"/>
          <w:right w:val="single" w:sz="4" w:space="4" w:color="auto"/>
        </w:pBdr>
      </w:pPr>
      <w:r>
        <w:t>11  UE trajectory model uses options 1-3 in TR 38.843 section 6.3.1 as the starting point.  Down-selection to be discussed in email discussion</w:t>
      </w:r>
    </w:p>
    <w:p w14:paraId="077E8B77" w14:textId="77777777" w:rsidR="00E04CB4" w:rsidRPr="00E951BD" w:rsidRDefault="00E04CB4" w:rsidP="00E04CB4">
      <w:pPr>
        <w:pStyle w:val="Doc-text2"/>
        <w:pBdr>
          <w:top w:val="single" w:sz="4" w:space="1" w:color="auto"/>
          <w:left w:val="single" w:sz="4" w:space="4" w:color="auto"/>
          <w:bottom w:val="single" w:sz="4" w:space="1" w:color="auto"/>
          <w:right w:val="single" w:sz="4" w:space="4" w:color="auto"/>
        </w:pBdr>
      </w:pPr>
      <w:r>
        <w:t>12 AI/ML model generalization could be addressed after sufficient performance gains for different use cases are found.</w:t>
      </w:r>
    </w:p>
    <w:tbl>
      <w:tblPr>
        <w:tblStyle w:val="a5"/>
        <w:tblW w:w="7938" w:type="dxa"/>
        <w:tblInd w:w="1129" w:type="dxa"/>
        <w:tblLook w:val="04A0" w:firstRow="1" w:lastRow="0" w:firstColumn="1" w:lastColumn="0" w:noHBand="0" w:noVBand="1"/>
      </w:tblPr>
      <w:tblGrid>
        <w:gridCol w:w="7938"/>
      </w:tblGrid>
      <w:tr w:rsidR="00E04CB4" w14:paraId="1A454E99" w14:textId="77777777" w:rsidTr="00E04CB4">
        <w:tc>
          <w:tcPr>
            <w:tcW w:w="7938" w:type="dxa"/>
          </w:tcPr>
          <w:p w14:paraId="05BE0298" w14:textId="77777777" w:rsidR="00E04CB4" w:rsidRPr="00851D82" w:rsidRDefault="00E04CB4" w:rsidP="00CD32C9">
            <w:pPr>
              <w:pStyle w:val="Doc-text2"/>
              <w:ind w:left="0" w:firstLine="0"/>
              <w:rPr>
                <w:b/>
                <w:bCs/>
                <w:lang w:eastAsia="ja-JP"/>
              </w:rPr>
            </w:pPr>
            <w:r w:rsidRPr="00851D82">
              <w:rPr>
                <w:b/>
                <w:bCs/>
                <w:lang w:eastAsia="ja-JP"/>
              </w:rPr>
              <w:t xml:space="preserve">Agreements to start evaluations </w:t>
            </w:r>
          </w:p>
          <w:p w14:paraId="6576227C" w14:textId="77777777" w:rsidR="00E04CB4" w:rsidRPr="008133AE" w:rsidRDefault="00E04CB4" w:rsidP="00E04CB4">
            <w:pPr>
              <w:pStyle w:val="Doc-text2"/>
              <w:numPr>
                <w:ilvl w:val="0"/>
                <w:numId w:val="35"/>
              </w:numPr>
              <w:rPr>
                <w:lang w:eastAsia="ja-JP"/>
              </w:rPr>
            </w:pPr>
            <w:r w:rsidRPr="008133AE">
              <w:rPr>
                <w:lang w:eastAsia="ja-JP"/>
              </w:rPr>
              <w:t>FR1-to-FR1</w:t>
            </w:r>
          </w:p>
          <w:p w14:paraId="0015E1C4" w14:textId="77777777" w:rsidR="00E04CB4" w:rsidRPr="008133AE" w:rsidRDefault="00E04CB4" w:rsidP="00E04CB4">
            <w:pPr>
              <w:pStyle w:val="Doc-text2"/>
              <w:numPr>
                <w:ilvl w:val="1"/>
                <w:numId w:val="35"/>
              </w:numPr>
              <w:rPr>
                <w:lang w:eastAsia="ja-JP"/>
              </w:rPr>
            </w:pPr>
            <w:r w:rsidRPr="008133AE">
              <w:rPr>
                <w:lang w:eastAsia="ja-JP"/>
              </w:rPr>
              <w:t xml:space="preserve">Focus on </w:t>
            </w:r>
            <w:r>
              <w:rPr>
                <w:lang w:eastAsia="ja-JP"/>
              </w:rPr>
              <w:t>intra-frequncy</w:t>
            </w:r>
            <w:r w:rsidRPr="008133AE">
              <w:rPr>
                <w:lang w:eastAsia="ja-JP"/>
              </w:rPr>
              <w:t xml:space="preserve"> in time domain prediction</w:t>
            </w:r>
            <w:r>
              <w:rPr>
                <w:lang w:eastAsia="ja-JP"/>
              </w:rPr>
              <w:t xml:space="preserve"> for the purpose of measurement reduction </w:t>
            </w:r>
          </w:p>
          <w:p w14:paraId="6282D333" w14:textId="77777777" w:rsidR="00E04CB4" w:rsidRDefault="00E04CB4" w:rsidP="00E04CB4">
            <w:pPr>
              <w:pStyle w:val="Doc-text2"/>
              <w:numPr>
                <w:ilvl w:val="1"/>
                <w:numId w:val="35"/>
              </w:numPr>
              <w:rPr>
                <w:lang w:eastAsia="ja-JP"/>
              </w:rPr>
            </w:pPr>
            <w:r>
              <w:rPr>
                <w:lang w:eastAsia="ja-JP"/>
              </w:rPr>
              <w:t xml:space="preserve">Study inter-frequency scenario in terms of which scenarios can be studied without requiring new channel model and also resolving any simulation assumptions (if possible). </w:t>
            </w:r>
          </w:p>
          <w:p w14:paraId="4FED31CE" w14:textId="77777777" w:rsidR="00E04CB4" w:rsidRPr="008133AE" w:rsidRDefault="00E04CB4" w:rsidP="00E04CB4">
            <w:pPr>
              <w:pStyle w:val="Doc-text2"/>
              <w:numPr>
                <w:ilvl w:val="0"/>
                <w:numId w:val="35"/>
              </w:numPr>
              <w:rPr>
                <w:lang w:eastAsia="ja-JP"/>
              </w:rPr>
            </w:pPr>
            <w:r w:rsidRPr="008133AE">
              <w:rPr>
                <w:lang w:eastAsia="ja-JP"/>
              </w:rPr>
              <w:t>FR2-to-FR2</w:t>
            </w:r>
          </w:p>
          <w:p w14:paraId="599C90FD" w14:textId="77777777" w:rsidR="00E04CB4" w:rsidRPr="00F57A8E" w:rsidRDefault="00E04CB4" w:rsidP="00E04CB4">
            <w:pPr>
              <w:pStyle w:val="Doc-text2"/>
              <w:numPr>
                <w:ilvl w:val="1"/>
                <w:numId w:val="35"/>
              </w:numPr>
              <w:rPr>
                <w:lang w:eastAsia="ja-JP"/>
              </w:rPr>
            </w:pPr>
            <w:r w:rsidRPr="00F57A8E">
              <w:rPr>
                <w:lang w:eastAsia="ja-JP"/>
              </w:rPr>
              <w:t>Focus o</w:t>
            </w:r>
            <w:r>
              <w:rPr>
                <w:lang w:eastAsia="ja-JP"/>
              </w:rPr>
              <w:t xml:space="preserve">n </w:t>
            </w:r>
            <w:r w:rsidRPr="00851D82">
              <w:rPr>
                <w:lang w:eastAsia="ja-JP"/>
              </w:rPr>
              <w:t>intra-frequency</w:t>
            </w:r>
          </w:p>
          <w:p w14:paraId="6905B032" w14:textId="77A286AB" w:rsidR="00E04CB4" w:rsidRDefault="00E04CB4" w:rsidP="00E5385A">
            <w:pPr>
              <w:pStyle w:val="Doc-text2"/>
              <w:numPr>
                <w:ilvl w:val="1"/>
                <w:numId w:val="35"/>
              </w:numPr>
              <w:rPr>
                <w:lang w:eastAsia="ja-JP"/>
              </w:rPr>
            </w:pPr>
            <w:r w:rsidRPr="008133AE">
              <w:rPr>
                <w:lang w:eastAsia="ja-JP"/>
              </w:rPr>
              <w:t>Perform evaluation both in time and spatial domain</w:t>
            </w:r>
          </w:p>
        </w:tc>
      </w:tr>
    </w:tbl>
    <w:p w14:paraId="2DE2EE64" w14:textId="7FC4AED5" w:rsidR="00E04CB4" w:rsidRPr="00E5385A" w:rsidRDefault="00E5385A" w:rsidP="00CA3A49">
      <w:pPr>
        <w:spacing w:before="240"/>
        <w:rPr>
          <w:rFonts w:eastAsiaTheme="minorEastAsia"/>
          <w:lang w:eastAsia="ko-KR"/>
        </w:rPr>
      </w:pPr>
      <w:r>
        <w:rPr>
          <w:rFonts w:eastAsiaTheme="minorEastAsia" w:hint="eastAsia"/>
          <w:lang w:eastAsia="ko-KR"/>
        </w:rPr>
        <w:t xml:space="preserve">This document discusses other </w:t>
      </w:r>
      <w:r w:rsidR="003F7E26">
        <w:rPr>
          <w:rFonts w:eastAsiaTheme="minorEastAsia"/>
          <w:lang w:eastAsia="ko-KR"/>
        </w:rPr>
        <w:t xml:space="preserve">simulation </w:t>
      </w:r>
      <w:r>
        <w:rPr>
          <w:rFonts w:eastAsiaTheme="minorEastAsia" w:hint="eastAsia"/>
          <w:lang w:eastAsia="ko-KR"/>
        </w:rPr>
        <w:t>aspects which need further discussion</w:t>
      </w:r>
      <w:r w:rsidR="003F7E26">
        <w:rPr>
          <w:rFonts w:eastAsiaTheme="minorEastAsia"/>
          <w:lang w:eastAsia="ko-KR"/>
        </w:rPr>
        <w:t xml:space="preserve"> for RRM prediction.</w:t>
      </w:r>
    </w:p>
    <w:p w14:paraId="070A2445" w14:textId="77777777" w:rsidR="002559DF" w:rsidRPr="00C93DB7" w:rsidRDefault="002559DF" w:rsidP="002559DF">
      <w:pPr>
        <w:pStyle w:val="1"/>
      </w:pPr>
      <w:r w:rsidRPr="00C93DB7">
        <w:lastRenderedPageBreak/>
        <w:t>Discussion</w:t>
      </w:r>
    </w:p>
    <w:p w14:paraId="7963F402" w14:textId="6190459C" w:rsidR="00CB585E" w:rsidRDefault="00DB736B" w:rsidP="002E296A">
      <w:pPr>
        <w:spacing w:before="240"/>
        <w:jc w:val="both"/>
        <w:rPr>
          <w:rFonts w:eastAsiaTheme="minorEastAsia"/>
          <w:lang w:eastAsia="ko-KR"/>
        </w:rPr>
      </w:pPr>
      <w:r>
        <w:rPr>
          <w:rFonts w:eastAsiaTheme="minorEastAsia"/>
          <w:lang w:eastAsia="ko-KR"/>
        </w:rPr>
        <w:t>In RAN2#125bis meeting, RAN2 agreed to focus on UMi chan</w:t>
      </w:r>
      <w:r w:rsidR="00CB585E">
        <w:rPr>
          <w:rFonts w:eastAsiaTheme="minorEastAsia"/>
          <w:lang w:eastAsia="ko-KR"/>
        </w:rPr>
        <w:t xml:space="preserve">nel model for FR2 evaluation. </w:t>
      </w:r>
      <w:r w:rsidR="007E2C06" w:rsidRPr="007E2C06">
        <w:rPr>
          <w:rFonts w:eastAsiaTheme="minorEastAsia"/>
          <w:lang w:eastAsia="ko-KR"/>
        </w:rPr>
        <w:t>UMi is mainly targeted to scenarios like downtown area with dense building deployments, e.g. Manhattan, Shanghai, and Tokyo.</w:t>
      </w:r>
      <w:r w:rsidR="007E2C06">
        <w:rPr>
          <w:rFonts w:eastAsiaTheme="minorEastAsia"/>
          <w:lang w:eastAsia="ko-KR"/>
        </w:rPr>
        <w:t xml:space="preserve"> In this case, BS site assumed to be located at balcony or building wall, not located at the rooftop. Thus, BS height is relatively lower. The typical value is 10m in TR 38.901 [1] as shown in</w:t>
      </w:r>
      <w:r w:rsidR="00AC5263">
        <w:rPr>
          <w:rFonts w:eastAsiaTheme="minorEastAsia"/>
          <w:lang w:eastAsia="ko-KR"/>
        </w:rPr>
        <w:t xml:space="preserve"> Figure </w:t>
      </w:r>
      <w:r w:rsidR="007E2C06">
        <w:rPr>
          <w:rFonts w:eastAsiaTheme="minorEastAsia"/>
          <w:lang w:eastAsia="ko-KR"/>
        </w:rPr>
        <w:t>1. Thus, the simulation in the study should align with the intention of the channel model and the evaluation methodology document.</w:t>
      </w:r>
    </w:p>
    <w:p w14:paraId="1AF0A5B9" w14:textId="5B4AFAF0" w:rsidR="00C416AC" w:rsidRDefault="00C416AC" w:rsidP="00C416AC">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1</w:t>
      </w:r>
      <w:r w:rsidRPr="001F3872">
        <w:rPr>
          <w:rFonts w:eastAsiaTheme="minorEastAsia"/>
          <w:b/>
          <w:lang w:eastAsia="ko-KR"/>
        </w:rPr>
        <w:t xml:space="preserve">. </w:t>
      </w:r>
      <w:r w:rsidR="00CB585E">
        <w:rPr>
          <w:rFonts w:eastAsiaTheme="minorEastAsia"/>
          <w:b/>
          <w:lang w:eastAsia="ko-KR"/>
        </w:rPr>
        <w:t xml:space="preserve">For FR2 </w:t>
      </w:r>
      <w:r w:rsidRPr="001F3872">
        <w:rPr>
          <w:rFonts w:eastAsiaTheme="minorEastAsia"/>
          <w:b/>
          <w:lang w:eastAsia="ko-KR"/>
        </w:rPr>
        <w:t xml:space="preserve">UMi </w:t>
      </w:r>
      <w:r w:rsidR="00CB585E">
        <w:rPr>
          <w:rFonts w:eastAsiaTheme="minorEastAsia"/>
          <w:b/>
          <w:lang w:eastAsia="ko-KR"/>
        </w:rPr>
        <w:t xml:space="preserve">simulation, </w:t>
      </w:r>
      <w:r w:rsidRPr="001F3872">
        <w:rPr>
          <w:rFonts w:eastAsiaTheme="minorEastAsia"/>
          <w:b/>
          <w:lang w:eastAsia="ko-KR"/>
        </w:rPr>
        <w:t xml:space="preserve">BS height = 10m </w:t>
      </w:r>
      <w:r w:rsidR="00CB585E">
        <w:rPr>
          <w:rFonts w:eastAsiaTheme="minorEastAsia"/>
          <w:b/>
          <w:lang w:eastAsia="ko-KR"/>
        </w:rPr>
        <w:t>as in TR 38.901.</w:t>
      </w:r>
    </w:p>
    <w:p w14:paraId="6689AECA" w14:textId="3348ED40" w:rsidR="007E2C06" w:rsidRPr="007E2C06" w:rsidRDefault="007E2C06" w:rsidP="007E2C06">
      <w:pPr>
        <w:pStyle w:val="a6"/>
        <w:numPr>
          <w:ilvl w:val="0"/>
          <w:numId w:val="37"/>
        </w:numPr>
        <w:jc w:val="center"/>
        <w:rPr>
          <w:rFonts w:eastAsiaTheme="minorEastAsia"/>
          <w:b/>
          <w:lang w:eastAsia="ko-KR"/>
        </w:rPr>
      </w:pPr>
      <w:r>
        <w:rPr>
          <w:rFonts w:eastAsiaTheme="minorEastAsia"/>
          <w:noProof/>
          <w:lang w:val="en-US" w:eastAsia="ko-KR"/>
        </w:rPr>
        <w:drawing>
          <wp:inline distT="0" distB="0" distL="0" distR="0" wp14:anchorId="2856F65A" wp14:editId="368AAABB">
            <wp:extent cx="3948545" cy="4051048"/>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1530" cy="4064370"/>
                    </a:xfrm>
                    <a:prstGeom prst="rect">
                      <a:avLst/>
                    </a:prstGeom>
                    <a:noFill/>
                    <a:ln>
                      <a:noFill/>
                    </a:ln>
                  </pic:spPr>
                </pic:pic>
              </a:graphicData>
            </a:graphic>
          </wp:inline>
        </w:drawing>
      </w:r>
    </w:p>
    <w:p w14:paraId="0F12420D" w14:textId="79EBCBA0" w:rsidR="007E2C06" w:rsidRPr="007E2C06" w:rsidRDefault="007E2C06" w:rsidP="007E2C06">
      <w:pPr>
        <w:pStyle w:val="a6"/>
        <w:numPr>
          <w:ilvl w:val="0"/>
          <w:numId w:val="37"/>
        </w:numPr>
        <w:jc w:val="center"/>
        <w:rPr>
          <w:rFonts w:eastAsiaTheme="minorEastAsia"/>
          <w:b/>
          <w:lang w:eastAsia="ko-KR"/>
        </w:rPr>
      </w:pPr>
      <w:r>
        <w:rPr>
          <w:rFonts w:eastAsiaTheme="minorEastAsia" w:hint="eastAsia"/>
          <w:b/>
          <w:lang w:eastAsia="ko-KR"/>
        </w:rPr>
        <w:t>Figure 1. Channel model including BS height in TR 38.901 [1]</w:t>
      </w:r>
    </w:p>
    <w:p w14:paraId="760CC27F" w14:textId="4D10839C" w:rsidR="007E2C06" w:rsidRDefault="0042547F" w:rsidP="00C416AC">
      <w:pPr>
        <w:jc w:val="both"/>
        <w:rPr>
          <w:rFonts w:eastAsiaTheme="minorEastAsia"/>
          <w:lang w:eastAsia="ko-KR"/>
        </w:rPr>
      </w:pPr>
      <w:r>
        <w:rPr>
          <w:rFonts w:eastAsiaTheme="minorEastAsia"/>
          <w:lang w:eastAsia="ko-KR"/>
        </w:rPr>
        <w:t>The TR 38.901 channel model</w:t>
      </w:r>
      <w:r w:rsidR="0096554E">
        <w:rPr>
          <w:rFonts w:eastAsiaTheme="minorEastAsia"/>
          <w:lang w:eastAsia="ko-KR"/>
        </w:rPr>
        <w:t xml:space="preserve"> (as in Figure </w:t>
      </w:r>
      <w:r w:rsidR="00E16E6B">
        <w:rPr>
          <w:rFonts w:eastAsiaTheme="minorEastAsia"/>
          <w:lang w:eastAsia="ko-KR"/>
        </w:rPr>
        <w:t>1</w:t>
      </w:r>
      <w:r w:rsidR="0096554E">
        <w:rPr>
          <w:rFonts w:eastAsiaTheme="minorEastAsia"/>
          <w:lang w:eastAsia="ko-KR"/>
        </w:rPr>
        <w:t>)</w:t>
      </w:r>
      <w:r>
        <w:rPr>
          <w:rFonts w:eastAsiaTheme="minorEastAsia"/>
          <w:lang w:eastAsia="ko-KR"/>
        </w:rPr>
        <w:t xml:space="preserve"> has</w:t>
      </w:r>
      <w:r>
        <w:rPr>
          <w:rFonts w:eastAsiaTheme="minorEastAsia" w:hint="eastAsia"/>
          <w:lang w:eastAsia="ko-KR"/>
        </w:rPr>
        <w:t xml:space="preserve"> the minimum BS-UT distance that the channel model</w:t>
      </w:r>
      <w:r w:rsidR="0096554E">
        <w:rPr>
          <w:rFonts w:eastAsiaTheme="minorEastAsia"/>
          <w:lang w:eastAsia="ko-KR"/>
        </w:rPr>
        <w:t xml:space="preserve">. More specifically, the path loss equation applies only if 2D distance is greater than 10m. </w:t>
      </w:r>
      <w:r w:rsidR="00967E9C">
        <w:rPr>
          <w:rFonts w:eastAsiaTheme="minorEastAsia"/>
          <w:lang w:eastAsia="ko-KR"/>
        </w:rPr>
        <w:t>TR 38.843</w:t>
      </w:r>
      <w:r w:rsidR="00561DC4">
        <w:rPr>
          <w:rFonts w:eastAsiaTheme="minorEastAsia"/>
          <w:lang w:eastAsia="ko-KR"/>
        </w:rPr>
        <w:t xml:space="preserve"> also considers this as</w:t>
      </w:r>
      <w:r w:rsidR="007A3727">
        <w:rPr>
          <w:rFonts w:eastAsiaTheme="minorEastAsia"/>
          <w:lang w:eastAsia="ko-KR"/>
        </w:rPr>
        <w:t xml:space="preserve"> a circle with radius</w:t>
      </w:r>
      <w:r w:rsidR="00561DC4">
        <w:rPr>
          <w:rFonts w:eastAsiaTheme="minorEastAsia"/>
          <w:lang w:eastAsia="ko-KR"/>
        </w:rPr>
        <w:t xml:space="preserve"> </w:t>
      </w:r>
      <w:r w:rsidR="00416D16">
        <w:rPr>
          <w:rFonts w:eastAsiaTheme="minorEastAsia"/>
          <w:lang w:eastAsia="ko-KR"/>
        </w:rPr>
        <w:t xml:space="preserve">d1 </w:t>
      </w:r>
      <w:r w:rsidR="00561DC4">
        <w:rPr>
          <w:rFonts w:eastAsiaTheme="minorEastAsia"/>
          <w:lang w:eastAsia="ko-KR"/>
        </w:rPr>
        <w:t>shown in Figure 2.</w:t>
      </w:r>
    </w:p>
    <w:p w14:paraId="545F9964" w14:textId="2291BE49" w:rsidR="00561DC4" w:rsidRPr="00561DC4" w:rsidRDefault="00561DC4" w:rsidP="00561DC4">
      <w:pPr>
        <w:jc w:val="center"/>
        <w:rPr>
          <w:b/>
        </w:rPr>
      </w:pPr>
      <w:r w:rsidRPr="00561DC4">
        <w:rPr>
          <w:b/>
        </w:rPr>
        <w:object w:dxaOrig="3455" w:dyaOrig="2943" w14:anchorId="3406C1C7">
          <v:shape id="_x0000_i1026" type="#_x0000_t75" style="width:173.9pt;height:150.1pt" o:ole="">
            <v:imagedata r:id="rId8" o:title=""/>
          </v:shape>
          <o:OLEObject Type="Embed" ProgID="Visio.Drawing.15" ShapeID="_x0000_i1026" DrawAspect="Content" ObjectID="_1776866903" r:id="rId9"/>
        </w:object>
      </w:r>
    </w:p>
    <w:p w14:paraId="4C3DC379" w14:textId="7277B7F0" w:rsidR="00561DC4" w:rsidRPr="00561DC4" w:rsidRDefault="00561DC4" w:rsidP="00561DC4">
      <w:pPr>
        <w:jc w:val="center"/>
        <w:rPr>
          <w:rFonts w:eastAsiaTheme="minorEastAsia"/>
          <w:b/>
          <w:lang w:eastAsia="ko-KR"/>
        </w:rPr>
      </w:pPr>
      <w:r w:rsidRPr="00561DC4">
        <w:rPr>
          <w:b/>
        </w:rPr>
        <w:t>Figure 2. Hexagonal cell with minimum distance d1</w:t>
      </w:r>
    </w:p>
    <w:p w14:paraId="07C3C4E1" w14:textId="1A0643A4" w:rsidR="00561DC4" w:rsidRPr="00561DC4" w:rsidRDefault="00561DC4" w:rsidP="00C416AC">
      <w:pPr>
        <w:jc w:val="both"/>
        <w:rPr>
          <w:rFonts w:eastAsiaTheme="minorEastAsia"/>
          <w:lang w:eastAsia="ko-KR"/>
        </w:rPr>
      </w:pPr>
      <w:r>
        <w:rPr>
          <w:rFonts w:eastAsiaTheme="minorEastAsia"/>
          <w:lang w:eastAsia="ko-KR"/>
        </w:rPr>
        <w:lastRenderedPageBreak/>
        <w:t xml:space="preserve">In mobility simulator mainly for </w:t>
      </w:r>
      <w:r w:rsidR="008E6F40">
        <w:rPr>
          <w:rFonts w:eastAsiaTheme="minorEastAsia"/>
          <w:lang w:eastAsia="ko-KR"/>
        </w:rPr>
        <w:t xml:space="preserve">RRM prediction for </w:t>
      </w:r>
      <w:r>
        <w:rPr>
          <w:rFonts w:eastAsiaTheme="minorEastAsia"/>
          <w:lang w:eastAsia="ko-KR"/>
        </w:rPr>
        <w:t xml:space="preserve">mobility event/RLF/HOF, the length of the trajectory in each run is relatively longer than that in beam prediction. In this case, consideration of d1 will make the UE trajectory more complicated. The circle with radius </w:t>
      </w:r>
      <w:r w:rsidR="000F6CD3">
        <w:rPr>
          <w:rFonts w:eastAsiaTheme="minorEastAsia"/>
          <w:lang w:eastAsia="ko-KR"/>
        </w:rPr>
        <w:t>d</w:t>
      </w:r>
      <w:r>
        <w:rPr>
          <w:rFonts w:eastAsiaTheme="minorEastAsia"/>
          <w:lang w:eastAsia="ko-KR"/>
        </w:rPr>
        <w:t xml:space="preserve">1 is located at the cell-center. In mobility, cell-center performance is not a main consideration. For simplicity of performance evaluation, it will be ok not to consider the minimum distance. </w:t>
      </w:r>
    </w:p>
    <w:p w14:paraId="1D127776" w14:textId="0467C948" w:rsidR="00C416AC" w:rsidRDefault="00C416AC" w:rsidP="00C416AC">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2</w:t>
      </w:r>
      <w:r w:rsidRPr="001F3872">
        <w:rPr>
          <w:rFonts w:eastAsiaTheme="minorEastAsia"/>
          <w:b/>
          <w:lang w:eastAsia="ko-KR"/>
        </w:rPr>
        <w:t xml:space="preserve">. The minimum distance </w:t>
      </w:r>
      <w:r w:rsidR="00561DC4">
        <w:rPr>
          <w:rFonts w:eastAsiaTheme="minorEastAsia"/>
          <w:b/>
          <w:lang w:eastAsia="ko-KR"/>
        </w:rPr>
        <w:t>d1 is not considered in the simulation. UE trajectory is not affected by the minimum distance.</w:t>
      </w:r>
    </w:p>
    <w:p w14:paraId="086E5A9A" w14:textId="338C78FE" w:rsidR="0096554E" w:rsidRPr="000A4343" w:rsidRDefault="000A4343" w:rsidP="00C416AC">
      <w:pPr>
        <w:jc w:val="both"/>
        <w:rPr>
          <w:rFonts w:eastAsiaTheme="minorEastAsia"/>
          <w:lang w:eastAsia="ko-KR"/>
        </w:rPr>
      </w:pPr>
      <w:r w:rsidRPr="000A4343">
        <w:rPr>
          <w:rFonts w:eastAsiaTheme="minorEastAsia" w:hint="eastAsia"/>
          <w:lang w:eastAsia="ko-KR"/>
        </w:rPr>
        <w:t>During</w:t>
      </w:r>
      <w:r w:rsidR="006B19CA">
        <w:rPr>
          <w:rFonts w:eastAsiaTheme="minorEastAsia"/>
          <w:lang w:eastAsia="ko-KR"/>
        </w:rPr>
        <w:t xml:space="preserve"> the email discussion </w:t>
      </w:r>
      <w:r w:rsidR="006B19CA" w:rsidRPr="006B19CA">
        <w:rPr>
          <w:rFonts w:eastAsiaTheme="minorEastAsia"/>
          <w:lang w:eastAsia="ko-KR"/>
        </w:rPr>
        <w:t>[POST125bis][021][AIML mobility] Simulation assumptions and methodology (OPPO)</w:t>
      </w:r>
      <w:r w:rsidR="00DD64C9">
        <w:rPr>
          <w:rFonts w:eastAsiaTheme="minorEastAsia"/>
          <w:lang w:eastAsia="ko-KR"/>
        </w:rPr>
        <w:t>, RAN2 discussed the sampling</w:t>
      </w:r>
      <w:r w:rsidR="006B19CA">
        <w:rPr>
          <w:rFonts w:eastAsiaTheme="minorEastAsia"/>
          <w:lang w:eastAsia="ko-KR"/>
        </w:rPr>
        <w:t xml:space="preserve"> period of measurement</w:t>
      </w:r>
      <w:r w:rsidR="00DD64C9">
        <w:rPr>
          <w:rFonts w:eastAsiaTheme="minorEastAsia"/>
          <w:lang w:eastAsia="ko-KR"/>
        </w:rPr>
        <w:t xml:space="preserve"> and measurement gap configuration. The measurement gap configuration is related to sampling period of inter-frequency measurement. In our view, we can assume the same sampling period among frequencies and different cells not to have too many variations. </w:t>
      </w:r>
    </w:p>
    <w:p w14:paraId="379998AA" w14:textId="08E33DD5" w:rsidR="00C416AC" w:rsidRPr="001F3872" w:rsidRDefault="00C416AC" w:rsidP="00C416AC">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3</w:t>
      </w:r>
      <w:r w:rsidRPr="001F3872">
        <w:rPr>
          <w:rFonts w:eastAsiaTheme="minorEastAsia"/>
          <w:b/>
          <w:lang w:eastAsia="ko-KR"/>
        </w:rPr>
        <w:t>. Measurement gap configuration is not necessary. Sample period is</w:t>
      </w:r>
      <w:r w:rsidR="009F5CBA">
        <w:rPr>
          <w:rFonts w:eastAsiaTheme="minorEastAsia"/>
          <w:b/>
          <w:lang w:eastAsia="ko-KR"/>
        </w:rPr>
        <w:t xml:space="preserve"> the same</w:t>
      </w:r>
      <w:r w:rsidRPr="001F3872">
        <w:rPr>
          <w:rFonts w:eastAsiaTheme="minorEastAsia"/>
          <w:b/>
          <w:lang w:eastAsia="ko-KR"/>
        </w:rPr>
        <w:t xml:space="preserve"> between frequencies in inter-frequency scenario.</w:t>
      </w:r>
    </w:p>
    <w:p w14:paraId="759881EF" w14:textId="26C3502C" w:rsidR="00AF3F60" w:rsidRDefault="00AF3F60" w:rsidP="00AF3F60">
      <w:pPr>
        <w:spacing w:before="240"/>
        <w:jc w:val="center"/>
      </w:pPr>
      <w:r>
        <w:object w:dxaOrig="6676" w:dyaOrig="6901" w14:anchorId="573B59CC">
          <v:shape id="_x0000_i1027" type="#_x0000_t75" style="width:169.25pt;height:174.85pt" o:ole="">
            <v:imagedata r:id="rId10" o:title=""/>
          </v:shape>
          <o:OLEObject Type="Embed" ProgID="Visio.Drawing.15" ShapeID="_x0000_i1027" DrawAspect="Content" ObjectID="_1776866904" r:id="rId11"/>
        </w:object>
      </w:r>
    </w:p>
    <w:p w14:paraId="6AF7AB07" w14:textId="6BC810E0" w:rsidR="00AF3F60" w:rsidRPr="00AF3F60" w:rsidRDefault="00AF3F60" w:rsidP="00AF3F60">
      <w:pPr>
        <w:spacing w:before="240"/>
        <w:jc w:val="center"/>
        <w:rPr>
          <w:rFonts w:eastAsiaTheme="minorEastAsia"/>
          <w:b/>
          <w:lang w:eastAsia="ko-KR"/>
        </w:rPr>
      </w:pPr>
      <w:r w:rsidRPr="00AF3F60">
        <w:rPr>
          <w:b/>
        </w:rPr>
        <w:t>Figure 3. RRM measurements for both serving cell and neighbour cells</w:t>
      </w:r>
    </w:p>
    <w:p w14:paraId="3891347F" w14:textId="0EFF8769" w:rsidR="00A333BE" w:rsidRDefault="00AF3F60" w:rsidP="002E296A">
      <w:pPr>
        <w:spacing w:before="240"/>
        <w:jc w:val="both"/>
        <w:rPr>
          <w:rFonts w:eastAsiaTheme="minorEastAsia"/>
          <w:lang w:eastAsia="ko-KR"/>
        </w:rPr>
      </w:pPr>
      <w:r>
        <w:rPr>
          <w:rFonts w:eastAsiaTheme="minorEastAsia" w:hint="eastAsia"/>
          <w:lang w:eastAsia="ko-KR"/>
        </w:rPr>
        <w:t xml:space="preserve">As a baseline evaluation, </w:t>
      </w:r>
      <w:r>
        <w:rPr>
          <w:rFonts w:eastAsiaTheme="minorEastAsia"/>
          <w:lang w:eastAsia="ko-KR"/>
        </w:rPr>
        <w:t xml:space="preserve">RAN2 will start with </w:t>
      </w:r>
      <w:r w:rsidR="00CC13A4">
        <w:rPr>
          <w:rFonts w:eastAsiaTheme="minorEastAsia"/>
          <w:lang w:eastAsia="ko-KR"/>
        </w:rPr>
        <w:t xml:space="preserve">RRM </w:t>
      </w:r>
      <w:r w:rsidR="00DF0C41">
        <w:rPr>
          <w:rFonts w:eastAsiaTheme="minorEastAsia"/>
          <w:lang w:eastAsia="ko-KR"/>
        </w:rPr>
        <w:t>measurement</w:t>
      </w:r>
      <w:r>
        <w:rPr>
          <w:rFonts w:eastAsiaTheme="minorEastAsia"/>
          <w:lang w:eastAsia="ko-KR"/>
        </w:rPr>
        <w:t xml:space="preserve"> prediction. </w:t>
      </w:r>
      <w:r w:rsidR="00DF0C41">
        <w:rPr>
          <w:rFonts w:eastAsiaTheme="minorEastAsia"/>
          <w:lang w:eastAsia="ko-KR"/>
        </w:rPr>
        <w:t xml:space="preserve">It is clear that the UE measures both serving cell and the neighbour cells in RRM. The measurement prediction should be </w:t>
      </w:r>
      <w:r w:rsidR="00A333BE">
        <w:rPr>
          <w:rFonts w:eastAsiaTheme="minorEastAsia"/>
          <w:lang w:eastAsia="ko-KR"/>
        </w:rPr>
        <w:t xml:space="preserve">performed </w:t>
      </w:r>
      <w:r w:rsidR="00DF0C41">
        <w:rPr>
          <w:rFonts w:eastAsiaTheme="minorEastAsia"/>
          <w:lang w:eastAsia="ko-KR"/>
        </w:rPr>
        <w:t xml:space="preserve">for both serving cell and neighbour </w:t>
      </w:r>
      <w:r w:rsidR="00A333BE">
        <w:rPr>
          <w:rFonts w:eastAsiaTheme="minorEastAsia"/>
          <w:lang w:eastAsia="ko-KR"/>
        </w:rPr>
        <w:t xml:space="preserve">cells. </w:t>
      </w:r>
    </w:p>
    <w:p w14:paraId="42F3CC84" w14:textId="604874F5" w:rsidR="00A94D00" w:rsidRDefault="00DF0C41" w:rsidP="002E296A">
      <w:pPr>
        <w:spacing w:before="240"/>
        <w:jc w:val="both"/>
        <w:rPr>
          <w:rFonts w:eastAsiaTheme="minorEastAsia"/>
          <w:lang w:eastAsia="ko-KR"/>
        </w:rPr>
      </w:pPr>
      <w:r>
        <w:rPr>
          <w:rFonts w:eastAsiaTheme="minorEastAsia"/>
          <w:lang w:eastAsia="ko-KR"/>
        </w:rPr>
        <w:t>Traditional PHY or mobility simulation should obtain the neighbour cell RSRP at least for SINR calculation. We do not expect the neighbour cell measurement require</w:t>
      </w:r>
      <w:r w:rsidR="000725DE">
        <w:rPr>
          <w:rFonts w:eastAsiaTheme="minorEastAsia"/>
          <w:lang w:eastAsia="ko-KR"/>
        </w:rPr>
        <w:t>s</w:t>
      </w:r>
      <w:r>
        <w:rPr>
          <w:rFonts w:eastAsiaTheme="minorEastAsia"/>
          <w:lang w:eastAsia="ko-KR"/>
        </w:rPr>
        <w:t xml:space="preserve"> additional efforts in the simulation. Considering 21=7*3 cells (sectors), we can assume that each UE collects measurement samples from all 21 cells.</w:t>
      </w:r>
    </w:p>
    <w:p w14:paraId="1E69B0E6" w14:textId="0625D277" w:rsidR="00A94D00" w:rsidRDefault="00A94D00" w:rsidP="00A94D00">
      <w:pPr>
        <w:jc w:val="both"/>
        <w:rPr>
          <w:rFonts w:eastAsiaTheme="minorEastAsia"/>
          <w:b/>
          <w:lang w:eastAsia="ko-KR"/>
        </w:rPr>
      </w:pPr>
      <w:r w:rsidRPr="001F3872">
        <w:rPr>
          <w:rFonts w:eastAsiaTheme="minorEastAsia"/>
          <w:b/>
          <w:lang w:eastAsia="ko-KR"/>
        </w:rPr>
        <w:t xml:space="preserve">Proposal </w:t>
      </w:r>
      <w:r w:rsidR="00C416AC">
        <w:rPr>
          <w:rFonts w:eastAsiaTheme="minorEastAsia"/>
          <w:b/>
          <w:lang w:eastAsia="ko-KR"/>
        </w:rPr>
        <w:t>4</w:t>
      </w:r>
      <w:r w:rsidRPr="001F3872">
        <w:rPr>
          <w:rFonts w:eastAsiaTheme="minorEastAsia"/>
          <w:b/>
          <w:lang w:eastAsia="ko-KR"/>
        </w:rPr>
        <w:t>. Each UE collects measure</w:t>
      </w:r>
      <w:r w:rsidR="00A11C1D">
        <w:rPr>
          <w:rFonts w:eastAsiaTheme="minorEastAsia"/>
          <w:b/>
          <w:lang w:eastAsia="ko-KR"/>
        </w:rPr>
        <w:t xml:space="preserve">ment samples from all 7*3 cells (both serving </w:t>
      </w:r>
      <w:r w:rsidR="00BF154D">
        <w:rPr>
          <w:rFonts w:eastAsiaTheme="minorEastAsia"/>
          <w:b/>
          <w:lang w:eastAsia="ko-KR"/>
        </w:rPr>
        <w:t xml:space="preserve">and </w:t>
      </w:r>
      <w:r w:rsidR="00A11C1D">
        <w:rPr>
          <w:rFonts w:eastAsiaTheme="minorEastAsia"/>
          <w:b/>
          <w:lang w:eastAsia="ko-KR"/>
        </w:rPr>
        <w:t>neighbour cells)</w:t>
      </w:r>
      <w:r w:rsidR="00DF0C41">
        <w:rPr>
          <w:rFonts w:eastAsiaTheme="minorEastAsia"/>
          <w:b/>
          <w:lang w:eastAsia="ko-KR"/>
        </w:rPr>
        <w:t>.</w:t>
      </w:r>
    </w:p>
    <w:p w14:paraId="267D016C" w14:textId="2079900A" w:rsidR="00A333BE" w:rsidRDefault="00473FFF" w:rsidP="00473FFF">
      <w:pPr>
        <w:jc w:val="center"/>
        <w:rPr>
          <w:rFonts w:eastAsiaTheme="minorEastAsia"/>
          <w:b/>
          <w:lang w:eastAsia="ko-KR"/>
        </w:rPr>
      </w:pPr>
      <w:r>
        <w:rPr>
          <w:rFonts w:eastAsiaTheme="minorEastAsia"/>
          <w:b/>
          <w:noProof/>
          <w:lang w:val="en-US" w:eastAsia="ko-KR"/>
        </w:rPr>
        <w:drawing>
          <wp:inline distT="0" distB="0" distL="0" distR="0" wp14:anchorId="5E60D6FE" wp14:editId="242AFEB1">
            <wp:extent cx="4770557" cy="183060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1051" cy="1838470"/>
                    </a:xfrm>
                    <a:prstGeom prst="rect">
                      <a:avLst/>
                    </a:prstGeom>
                    <a:noFill/>
                  </pic:spPr>
                </pic:pic>
              </a:graphicData>
            </a:graphic>
          </wp:inline>
        </w:drawing>
      </w:r>
    </w:p>
    <w:p w14:paraId="72978AE6" w14:textId="06016A2B" w:rsidR="00473FFF" w:rsidRDefault="00473FFF" w:rsidP="00473FFF">
      <w:pPr>
        <w:jc w:val="center"/>
        <w:rPr>
          <w:rFonts w:eastAsiaTheme="minorEastAsia"/>
          <w:b/>
          <w:lang w:eastAsia="ko-KR"/>
        </w:rPr>
      </w:pPr>
      <w:r>
        <w:rPr>
          <w:rFonts w:eastAsiaTheme="minorEastAsia" w:hint="eastAsia"/>
          <w:b/>
          <w:lang w:eastAsia="ko-KR"/>
        </w:rPr>
        <w:t xml:space="preserve">Figure 4. Undetectable measurement for </w:t>
      </w:r>
      <w:r>
        <w:rPr>
          <w:rFonts w:eastAsiaTheme="minorEastAsia"/>
          <w:b/>
          <w:lang w:eastAsia="ko-KR"/>
        </w:rPr>
        <w:t>neighbour cells</w:t>
      </w:r>
    </w:p>
    <w:p w14:paraId="33E7531C" w14:textId="14D3AA11" w:rsidR="00473FFF" w:rsidRDefault="00473FFF" w:rsidP="00DF0C41">
      <w:pPr>
        <w:jc w:val="both"/>
        <w:rPr>
          <w:rFonts w:eastAsiaTheme="minorEastAsia"/>
          <w:lang w:eastAsia="ko-KR"/>
        </w:rPr>
      </w:pPr>
      <w:r w:rsidRPr="00473FFF">
        <w:rPr>
          <w:rFonts w:eastAsiaTheme="minorEastAsia"/>
          <w:lang w:eastAsia="ko-KR"/>
        </w:rPr>
        <w:lastRenderedPageBreak/>
        <w:t>Considering multiple cells in the simulation,</w:t>
      </w:r>
      <w:r>
        <w:rPr>
          <w:rFonts w:eastAsiaTheme="minorEastAsia"/>
          <w:lang w:eastAsia="ko-KR"/>
        </w:rPr>
        <w:t xml:space="preserve"> there will be only a few cells whose measured RSRP is detectable, i.e. RSRP is above the particular threshold. For instance, RSRP from the cell far from the UE or from the cell with opposite antenna boresight will not be detected in the real world implementation. Figure 4 shows an example of L3-filtered RSRP for multiple cells. </w:t>
      </w:r>
      <w:r>
        <w:rPr>
          <w:rFonts w:eastAsiaTheme="minorEastAsia" w:hint="eastAsia"/>
          <w:lang w:eastAsia="ko-KR"/>
        </w:rPr>
        <w:t xml:space="preserve">In </w:t>
      </w:r>
      <w:r>
        <w:rPr>
          <w:rFonts w:eastAsiaTheme="minorEastAsia"/>
          <w:lang w:eastAsia="ko-KR"/>
        </w:rPr>
        <w:t>traditional system level simulation, this very low signal quality is used for SINR/RSRQ calculation. But for RSRP prediction, it</w:t>
      </w:r>
      <w:r w:rsidR="004D48FE">
        <w:rPr>
          <w:rFonts w:eastAsiaTheme="minorEastAsia"/>
          <w:lang w:eastAsia="ko-KR"/>
        </w:rPr>
        <w:t xml:space="preserve"> should be</w:t>
      </w:r>
      <w:bookmarkStart w:id="0" w:name="_GoBack"/>
      <w:bookmarkEnd w:id="0"/>
      <w:r>
        <w:rPr>
          <w:rFonts w:eastAsiaTheme="minorEastAsia"/>
          <w:lang w:eastAsia="ko-KR"/>
        </w:rPr>
        <w:t xml:space="preserve"> considered as invalid. Thus, </w:t>
      </w:r>
      <w:r w:rsidR="008E6F40" w:rsidRPr="008E6F40">
        <w:rPr>
          <w:rFonts w:eastAsiaTheme="minorEastAsia"/>
          <w:lang w:eastAsia="ko-KR"/>
        </w:rPr>
        <w:t>the undetected RSRP cannot be used for the prediction.</w:t>
      </w:r>
    </w:p>
    <w:p w14:paraId="2A0708DE" w14:textId="272CCCF4" w:rsidR="00473FFF" w:rsidRPr="00473FFF" w:rsidRDefault="00473FFF" w:rsidP="00DF0C41">
      <w:pPr>
        <w:jc w:val="both"/>
        <w:rPr>
          <w:rFonts w:eastAsiaTheme="minorEastAsia"/>
          <w:lang w:eastAsia="ko-KR"/>
        </w:rPr>
      </w:pPr>
      <w:r>
        <w:rPr>
          <w:rFonts w:eastAsiaTheme="minorEastAsia"/>
          <w:lang w:eastAsia="ko-KR"/>
        </w:rPr>
        <w:t xml:space="preserve">One could argues top-K cell prediction can be used. However, </w:t>
      </w:r>
      <w:r w:rsidR="009C6267">
        <w:rPr>
          <w:rFonts w:eastAsiaTheme="minorEastAsia"/>
          <w:lang w:eastAsia="ko-KR"/>
        </w:rPr>
        <w:t xml:space="preserve">a certain number of detected cells </w:t>
      </w:r>
      <w:r>
        <w:rPr>
          <w:rFonts w:eastAsiaTheme="minorEastAsia"/>
          <w:lang w:eastAsia="ko-KR"/>
        </w:rPr>
        <w:t>is always detected.</w:t>
      </w:r>
      <w:r w:rsidR="00D42640">
        <w:rPr>
          <w:rFonts w:eastAsiaTheme="minorEastAsia"/>
          <w:lang w:eastAsia="ko-KR"/>
        </w:rPr>
        <w:t xml:space="preserve"> Hence, it is desirable to consider a RSRP threshold to indicate the detectable RSRP measurement.</w:t>
      </w:r>
      <w:r w:rsidR="00045950">
        <w:rPr>
          <w:rFonts w:eastAsiaTheme="minorEastAsia"/>
          <w:lang w:eastAsia="ko-KR"/>
        </w:rPr>
        <w:t xml:space="preserve"> Based on the threshold, measurement prediction should be performed for the detect</w:t>
      </w:r>
      <w:r w:rsidR="002641BB">
        <w:rPr>
          <w:rFonts w:eastAsiaTheme="minorEastAsia"/>
          <w:lang w:eastAsia="ko-KR"/>
        </w:rPr>
        <w:t>ed</w:t>
      </w:r>
      <w:r w:rsidR="00E01203">
        <w:rPr>
          <w:rFonts w:eastAsiaTheme="minorEastAsia"/>
          <w:lang w:eastAsia="ko-KR"/>
        </w:rPr>
        <w:t xml:space="preserve"> </w:t>
      </w:r>
      <w:r w:rsidR="00045950">
        <w:rPr>
          <w:rFonts w:eastAsiaTheme="minorEastAsia"/>
          <w:lang w:eastAsia="ko-KR"/>
        </w:rPr>
        <w:t>cells.</w:t>
      </w:r>
      <w:r w:rsidR="00F74151">
        <w:rPr>
          <w:rFonts w:eastAsiaTheme="minorEastAsia"/>
          <w:lang w:eastAsia="ko-KR"/>
        </w:rPr>
        <w:t xml:space="preserve"> The detection threshold can be calculated by channel bandwidth, noise figure and thermal noise parameters.</w:t>
      </w:r>
    </w:p>
    <w:p w14:paraId="3997F8BD" w14:textId="13869218" w:rsidR="00DF0C41" w:rsidRPr="001F3872" w:rsidRDefault="00DF0C41" w:rsidP="00DF0C41">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5</w:t>
      </w:r>
      <w:r w:rsidRPr="001F3872">
        <w:rPr>
          <w:rFonts w:eastAsiaTheme="minorEastAsia"/>
          <w:b/>
          <w:lang w:eastAsia="ko-KR"/>
        </w:rPr>
        <w:t>.</w:t>
      </w:r>
      <w:r w:rsidR="00045950">
        <w:rPr>
          <w:rFonts w:eastAsiaTheme="minorEastAsia"/>
          <w:b/>
          <w:lang w:eastAsia="ko-KR"/>
        </w:rPr>
        <w:t xml:space="preserve"> </w:t>
      </w:r>
      <w:r w:rsidR="00BF1E3A">
        <w:rPr>
          <w:rFonts w:eastAsiaTheme="minorEastAsia"/>
          <w:b/>
          <w:lang w:eastAsia="ko-KR"/>
        </w:rPr>
        <w:t xml:space="preserve">Cell with </w:t>
      </w:r>
      <w:r w:rsidR="00D42640">
        <w:rPr>
          <w:rFonts w:eastAsiaTheme="minorEastAsia"/>
          <w:b/>
          <w:lang w:eastAsia="ko-KR"/>
        </w:rPr>
        <w:t xml:space="preserve">RSRP measurement above the detection threshold is considered as </w:t>
      </w:r>
      <w:r w:rsidR="00BF1E3A">
        <w:rPr>
          <w:rFonts w:eastAsiaTheme="minorEastAsia"/>
          <w:b/>
          <w:lang w:eastAsia="ko-KR"/>
        </w:rPr>
        <w:t xml:space="preserve">a </w:t>
      </w:r>
      <w:r w:rsidR="00D42640">
        <w:rPr>
          <w:rFonts w:eastAsiaTheme="minorEastAsia"/>
          <w:b/>
          <w:lang w:eastAsia="ko-KR"/>
        </w:rPr>
        <w:t>detected</w:t>
      </w:r>
      <w:r w:rsidR="00BF1E3A">
        <w:rPr>
          <w:rFonts w:eastAsiaTheme="minorEastAsia"/>
          <w:b/>
          <w:lang w:eastAsia="ko-KR"/>
        </w:rPr>
        <w:t xml:space="preserve"> cell</w:t>
      </w:r>
      <w:r w:rsidR="00D42640">
        <w:rPr>
          <w:rFonts w:eastAsiaTheme="minorEastAsia"/>
          <w:b/>
          <w:lang w:eastAsia="ko-KR"/>
        </w:rPr>
        <w:t>.</w:t>
      </w:r>
    </w:p>
    <w:p w14:paraId="3BAF27C6" w14:textId="64C7830F" w:rsidR="00DF0C41" w:rsidRPr="001F3872" w:rsidRDefault="00DF0C41" w:rsidP="00A94D00">
      <w:pPr>
        <w:jc w:val="both"/>
        <w:rPr>
          <w:rFonts w:eastAsiaTheme="minorEastAsia"/>
          <w:b/>
          <w:lang w:eastAsia="ko-KR"/>
        </w:rPr>
      </w:pPr>
      <w:r>
        <w:rPr>
          <w:rFonts w:eastAsiaTheme="minorEastAsia"/>
          <w:b/>
          <w:lang w:eastAsia="ko-KR"/>
        </w:rPr>
        <w:t xml:space="preserve">Proposal </w:t>
      </w:r>
      <w:r w:rsidR="00650C31">
        <w:rPr>
          <w:rFonts w:eastAsiaTheme="minorEastAsia"/>
          <w:b/>
          <w:lang w:eastAsia="ko-KR"/>
        </w:rPr>
        <w:t>6</w:t>
      </w:r>
      <w:r>
        <w:rPr>
          <w:rFonts w:eastAsiaTheme="minorEastAsia"/>
          <w:b/>
          <w:lang w:eastAsia="ko-KR"/>
        </w:rPr>
        <w:t xml:space="preserve">. For </w:t>
      </w:r>
      <w:r w:rsidR="00FB0866">
        <w:rPr>
          <w:rFonts w:eastAsiaTheme="minorEastAsia"/>
          <w:b/>
          <w:lang w:eastAsia="ko-KR"/>
        </w:rPr>
        <w:t>each</w:t>
      </w:r>
      <w:r w:rsidR="00BF1E3A">
        <w:rPr>
          <w:rFonts w:eastAsiaTheme="minorEastAsia"/>
          <w:b/>
          <w:lang w:eastAsia="ko-KR"/>
        </w:rPr>
        <w:t xml:space="preserve"> detected</w:t>
      </w:r>
      <w:r w:rsidR="00045950">
        <w:rPr>
          <w:rFonts w:eastAsiaTheme="minorEastAsia"/>
          <w:b/>
          <w:lang w:eastAsia="ko-KR"/>
        </w:rPr>
        <w:t xml:space="preserve"> cell</w:t>
      </w:r>
      <w:r>
        <w:rPr>
          <w:rFonts w:eastAsiaTheme="minorEastAsia"/>
          <w:b/>
          <w:lang w:eastAsia="ko-KR"/>
        </w:rPr>
        <w:t xml:space="preserve">, measurement prediction </w:t>
      </w:r>
      <w:r w:rsidR="00045950">
        <w:rPr>
          <w:rFonts w:eastAsiaTheme="minorEastAsia"/>
          <w:b/>
          <w:lang w:eastAsia="ko-KR"/>
        </w:rPr>
        <w:t>is</w:t>
      </w:r>
      <w:r>
        <w:rPr>
          <w:rFonts w:eastAsiaTheme="minorEastAsia"/>
          <w:b/>
          <w:lang w:eastAsia="ko-KR"/>
        </w:rPr>
        <w:t xml:space="preserve"> performed.</w:t>
      </w:r>
    </w:p>
    <w:p w14:paraId="3C72C61A" w14:textId="77777777" w:rsidR="001F3872" w:rsidRPr="00C416AC" w:rsidRDefault="001F3872" w:rsidP="00A94D00">
      <w:pPr>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690D99B0"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53F9C76E" w14:textId="77777777" w:rsidR="002A2840" w:rsidRDefault="002A2840" w:rsidP="002A2840">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1</w:t>
      </w:r>
      <w:r w:rsidRPr="001F3872">
        <w:rPr>
          <w:rFonts w:eastAsiaTheme="minorEastAsia"/>
          <w:b/>
          <w:lang w:eastAsia="ko-KR"/>
        </w:rPr>
        <w:t xml:space="preserve">. </w:t>
      </w:r>
      <w:r>
        <w:rPr>
          <w:rFonts w:eastAsiaTheme="minorEastAsia"/>
          <w:b/>
          <w:lang w:eastAsia="ko-KR"/>
        </w:rPr>
        <w:t xml:space="preserve">For FR2 </w:t>
      </w:r>
      <w:r w:rsidRPr="001F3872">
        <w:rPr>
          <w:rFonts w:eastAsiaTheme="minorEastAsia"/>
          <w:b/>
          <w:lang w:eastAsia="ko-KR"/>
        </w:rPr>
        <w:t xml:space="preserve">UMi </w:t>
      </w:r>
      <w:r>
        <w:rPr>
          <w:rFonts w:eastAsiaTheme="minorEastAsia"/>
          <w:b/>
          <w:lang w:eastAsia="ko-KR"/>
        </w:rPr>
        <w:t xml:space="preserve">simulation, </w:t>
      </w:r>
      <w:r w:rsidRPr="001F3872">
        <w:rPr>
          <w:rFonts w:eastAsiaTheme="minorEastAsia"/>
          <w:b/>
          <w:lang w:eastAsia="ko-KR"/>
        </w:rPr>
        <w:t xml:space="preserve">BS height = 10m </w:t>
      </w:r>
      <w:r>
        <w:rPr>
          <w:rFonts w:eastAsiaTheme="minorEastAsia"/>
          <w:b/>
          <w:lang w:eastAsia="ko-KR"/>
        </w:rPr>
        <w:t>as in TR 38.901.</w:t>
      </w:r>
    </w:p>
    <w:p w14:paraId="6CC391ED" w14:textId="77777777" w:rsidR="002A2840" w:rsidRDefault="002A2840" w:rsidP="002A2840">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2</w:t>
      </w:r>
      <w:r w:rsidRPr="001F3872">
        <w:rPr>
          <w:rFonts w:eastAsiaTheme="minorEastAsia"/>
          <w:b/>
          <w:lang w:eastAsia="ko-KR"/>
        </w:rPr>
        <w:t xml:space="preserve">. The minimum distance </w:t>
      </w:r>
      <w:r>
        <w:rPr>
          <w:rFonts w:eastAsiaTheme="minorEastAsia"/>
          <w:b/>
          <w:lang w:eastAsia="ko-KR"/>
        </w:rPr>
        <w:t>d1 is not considered in the simulation. UE trajectory is not affected by the minimum distance.</w:t>
      </w:r>
    </w:p>
    <w:p w14:paraId="23FE9EC3" w14:textId="77777777" w:rsidR="002A2840" w:rsidRPr="001F3872" w:rsidRDefault="002A2840" w:rsidP="002A2840">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3</w:t>
      </w:r>
      <w:r w:rsidRPr="001F3872">
        <w:rPr>
          <w:rFonts w:eastAsiaTheme="minorEastAsia"/>
          <w:b/>
          <w:lang w:eastAsia="ko-KR"/>
        </w:rPr>
        <w:t>. Measurement gap configuration is not necessary. Sample period is</w:t>
      </w:r>
      <w:r>
        <w:rPr>
          <w:rFonts w:eastAsiaTheme="minorEastAsia"/>
          <w:b/>
          <w:lang w:eastAsia="ko-KR"/>
        </w:rPr>
        <w:t xml:space="preserve"> the same</w:t>
      </w:r>
      <w:r w:rsidRPr="001F3872">
        <w:rPr>
          <w:rFonts w:eastAsiaTheme="minorEastAsia"/>
          <w:b/>
          <w:lang w:eastAsia="ko-KR"/>
        </w:rPr>
        <w:t xml:space="preserve"> between frequencies in inter-frequency scenario.</w:t>
      </w:r>
    </w:p>
    <w:p w14:paraId="4B5B7FA1" w14:textId="77777777" w:rsidR="002A2840" w:rsidRDefault="002A2840" w:rsidP="002A2840">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4</w:t>
      </w:r>
      <w:r w:rsidRPr="001F3872">
        <w:rPr>
          <w:rFonts w:eastAsiaTheme="minorEastAsia"/>
          <w:b/>
          <w:lang w:eastAsia="ko-KR"/>
        </w:rPr>
        <w:t>. Each UE collects measure</w:t>
      </w:r>
      <w:r>
        <w:rPr>
          <w:rFonts w:eastAsiaTheme="minorEastAsia"/>
          <w:b/>
          <w:lang w:eastAsia="ko-KR"/>
        </w:rPr>
        <w:t>ment samples from all 7*3 cells (both serving and neighbour cells).</w:t>
      </w:r>
    </w:p>
    <w:p w14:paraId="2AA0DF2C" w14:textId="77777777" w:rsidR="002A2840" w:rsidRPr="001F3872" w:rsidRDefault="002A2840" w:rsidP="002A2840">
      <w:pPr>
        <w:jc w:val="both"/>
        <w:rPr>
          <w:rFonts w:eastAsiaTheme="minorEastAsia"/>
          <w:b/>
          <w:lang w:eastAsia="ko-KR"/>
        </w:rPr>
      </w:pPr>
      <w:r w:rsidRPr="001F3872">
        <w:rPr>
          <w:rFonts w:eastAsiaTheme="minorEastAsia"/>
          <w:b/>
          <w:lang w:eastAsia="ko-KR"/>
        </w:rPr>
        <w:t xml:space="preserve">Proposal </w:t>
      </w:r>
      <w:r>
        <w:rPr>
          <w:rFonts w:eastAsiaTheme="minorEastAsia"/>
          <w:b/>
          <w:lang w:eastAsia="ko-KR"/>
        </w:rPr>
        <w:t>5</w:t>
      </w:r>
      <w:r w:rsidRPr="001F3872">
        <w:rPr>
          <w:rFonts w:eastAsiaTheme="minorEastAsia"/>
          <w:b/>
          <w:lang w:eastAsia="ko-KR"/>
        </w:rPr>
        <w:t>.</w:t>
      </w:r>
      <w:r>
        <w:rPr>
          <w:rFonts w:eastAsiaTheme="minorEastAsia"/>
          <w:b/>
          <w:lang w:eastAsia="ko-KR"/>
        </w:rPr>
        <w:t xml:space="preserve"> Cell with RSRP measurement above the detection threshold is considered as a detected cell.</w:t>
      </w:r>
    </w:p>
    <w:p w14:paraId="789E65AF" w14:textId="77777777" w:rsidR="002A2840" w:rsidRPr="001F3872" w:rsidRDefault="002A2840" w:rsidP="002A2840">
      <w:pPr>
        <w:jc w:val="both"/>
        <w:rPr>
          <w:rFonts w:eastAsiaTheme="minorEastAsia"/>
          <w:b/>
          <w:lang w:eastAsia="ko-KR"/>
        </w:rPr>
      </w:pPr>
      <w:r>
        <w:rPr>
          <w:rFonts w:eastAsiaTheme="minorEastAsia"/>
          <w:b/>
          <w:lang w:eastAsia="ko-KR"/>
        </w:rPr>
        <w:t>Proposal 6. For each detected cell, measurement prediction is performed.</w:t>
      </w:r>
    </w:p>
    <w:p w14:paraId="42043652" w14:textId="77777777" w:rsidR="002F68DC" w:rsidRPr="002A2840" w:rsidRDefault="002F68DC" w:rsidP="001B6510">
      <w:pPr>
        <w:rPr>
          <w:rFonts w:eastAsiaTheme="minorEastAsia"/>
          <w:lang w:eastAsia="ko-KR"/>
        </w:rPr>
      </w:pPr>
    </w:p>
    <w:p w14:paraId="7767EDEB" w14:textId="77777777" w:rsidR="00B42BF0" w:rsidRPr="007102EA" w:rsidRDefault="00B42BF0" w:rsidP="00B42BF0">
      <w:pPr>
        <w:pStyle w:val="1"/>
        <w:jc w:val="both"/>
      </w:pPr>
      <w:r>
        <w:t>References</w:t>
      </w:r>
    </w:p>
    <w:p w14:paraId="6B8AA475" w14:textId="73B9AE2B" w:rsidR="00DB736B" w:rsidRPr="00DB736B" w:rsidRDefault="00440CE2" w:rsidP="00DB736B">
      <w:pPr>
        <w:rPr>
          <w:lang w:eastAsia="ko-KR"/>
        </w:rPr>
      </w:pPr>
      <w:r>
        <w:rPr>
          <w:rFonts w:eastAsiaTheme="minorEastAsia" w:hint="eastAsia"/>
          <w:lang w:eastAsia="ko-KR"/>
        </w:rPr>
        <w:t>[1]</w:t>
      </w:r>
      <w:r w:rsidR="00DB736B">
        <w:rPr>
          <w:rFonts w:eastAsiaTheme="minorEastAsia"/>
          <w:lang w:eastAsia="ko-KR"/>
        </w:rPr>
        <w:t xml:space="preserve"> </w:t>
      </w:r>
      <w:r w:rsidR="00DB736B">
        <w:rPr>
          <w:lang w:eastAsia="ko-KR"/>
        </w:rPr>
        <w:t xml:space="preserve">3GPP TR 38.901, </w:t>
      </w:r>
      <w:r w:rsidR="00DB736B" w:rsidRPr="00DB736B">
        <w:rPr>
          <w:lang w:eastAsia="ko-KR"/>
        </w:rPr>
        <w:t>Study on channel model for frequencies from 0.5 to 100 GHz</w:t>
      </w:r>
      <w:r w:rsidR="00DB736B">
        <w:rPr>
          <w:lang w:eastAsia="ko-KR"/>
        </w:rPr>
        <w:t>, v17.1.0 (2023-12)</w:t>
      </w:r>
    </w:p>
    <w:p w14:paraId="6DA894F8" w14:textId="26C875C0" w:rsidR="00B42BF0" w:rsidRPr="002634F2" w:rsidRDefault="002634F2" w:rsidP="002634F2">
      <w:pPr>
        <w:rPr>
          <w:rFonts w:eastAsiaTheme="minorEastAsia"/>
          <w:lang w:eastAsia="ko-KR"/>
        </w:rPr>
      </w:pPr>
      <w:r>
        <w:rPr>
          <w:rFonts w:eastAsiaTheme="minorEastAsia" w:hint="eastAsia"/>
          <w:lang w:eastAsia="ko-KR"/>
        </w:rPr>
        <w:t xml:space="preserve">[2] </w:t>
      </w:r>
      <w:r>
        <w:rPr>
          <w:rFonts w:eastAsiaTheme="minorEastAsia"/>
          <w:lang w:eastAsia="ko-KR"/>
        </w:rPr>
        <w:t xml:space="preserve">3GPP TR 38.843, </w:t>
      </w:r>
      <w:r w:rsidRPr="002634F2">
        <w:rPr>
          <w:rFonts w:eastAsiaTheme="minorEastAsia"/>
          <w:lang w:eastAsia="ko-KR"/>
        </w:rPr>
        <w:t>Study on Artificial Intelligence (AI)/Machine Learning (ML) for NR air interface</w:t>
      </w:r>
      <w:r>
        <w:rPr>
          <w:rFonts w:eastAsiaTheme="minorEastAsia"/>
          <w:lang w:eastAsia="ko-KR"/>
        </w:rPr>
        <w:t>, v18.0.0 (2023-12)</w:t>
      </w:r>
    </w:p>
    <w:sectPr w:rsidR="00B42BF0" w:rsidRPr="002634F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021A3" w14:textId="77777777" w:rsidR="00E16564" w:rsidRDefault="00E16564" w:rsidP="000B4C53">
      <w:pPr>
        <w:spacing w:after="0"/>
      </w:pPr>
      <w:r>
        <w:separator/>
      </w:r>
    </w:p>
  </w:endnote>
  <w:endnote w:type="continuationSeparator" w:id="0">
    <w:p w14:paraId="4174AD5B" w14:textId="77777777" w:rsidR="00E16564" w:rsidRDefault="00E1656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07C5A" w14:textId="77777777" w:rsidR="00E16564" w:rsidRDefault="00E16564" w:rsidP="000B4C53">
      <w:pPr>
        <w:spacing w:after="0"/>
      </w:pPr>
      <w:r>
        <w:separator/>
      </w:r>
    </w:p>
  </w:footnote>
  <w:footnote w:type="continuationSeparator" w:id="0">
    <w:p w14:paraId="15EED130" w14:textId="77777777" w:rsidR="00E16564" w:rsidRDefault="00E1656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5pt;height:.95pt;visibility:visible;mso-wrap-style:square" o:bullet="t">
        <v:imagedata r:id="rId1" o:title=""/>
      </v:shape>
    </w:pict>
  </w:numPicBullet>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A90E7B"/>
    <w:multiLevelType w:val="hybridMultilevel"/>
    <w:tmpl w:val="70640A9C"/>
    <w:lvl w:ilvl="0" w:tplc="4DF89034">
      <w:start w:val="1"/>
      <w:numFmt w:val="bullet"/>
      <w:lvlText w:val=""/>
      <w:lvlPicBulletId w:val="0"/>
      <w:lvlJc w:val="left"/>
      <w:pPr>
        <w:tabs>
          <w:tab w:val="num" w:pos="800"/>
        </w:tabs>
        <w:ind w:left="800" w:hanging="400"/>
      </w:pPr>
      <w:rPr>
        <w:rFonts w:ascii="Symbol" w:hAnsi="Symbol" w:hint="default"/>
      </w:rPr>
    </w:lvl>
    <w:lvl w:ilvl="1" w:tplc="B0E491F2" w:tentative="1">
      <w:start w:val="1"/>
      <w:numFmt w:val="bullet"/>
      <w:lvlText w:val=""/>
      <w:lvlJc w:val="left"/>
      <w:pPr>
        <w:tabs>
          <w:tab w:val="num" w:pos="1600"/>
        </w:tabs>
        <w:ind w:left="1600" w:hanging="400"/>
      </w:pPr>
      <w:rPr>
        <w:rFonts w:ascii="Symbol" w:hAnsi="Symbol" w:hint="default"/>
      </w:rPr>
    </w:lvl>
    <w:lvl w:ilvl="2" w:tplc="64FA6952" w:tentative="1">
      <w:start w:val="1"/>
      <w:numFmt w:val="bullet"/>
      <w:lvlText w:val=""/>
      <w:lvlJc w:val="left"/>
      <w:pPr>
        <w:tabs>
          <w:tab w:val="num" w:pos="2400"/>
        </w:tabs>
        <w:ind w:left="2400" w:hanging="400"/>
      </w:pPr>
      <w:rPr>
        <w:rFonts w:ascii="Symbol" w:hAnsi="Symbol" w:hint="default"/>
      </w:rPr>
    </w:lvl>
    <w:lvl w:ilvl="3" w:tplc="0FF20830" w:tentative="1">
      <w:start w:val="1"/>
      <w:numFmt w:val="bullet"/>
      <w:lvlText w:val=""/>
      <w:lvlJc w:val="left"/>
      <w:pPr>
        <w:tabs>
          <w:tab w:val="num" w:pos="3200"/>
        </w:tabs>
        <w:ind w:left="3200" w:hanging="400"/>
      </w:pPr>
      <w:rPr>
        <w:rFonts w:ascii="Symbol" w:hAnsi="Symbol" w:hint="default"/>
      </w:rPr>
    </w:lvl>
    <w:lvl w:ilvl="4" w:tplc="711E1FA6" w:tentative="1">
      <w:start w:val="1"/>
      <w:numFmt w:val="bullet"/>
      <w:lvlText w:val=""/>
      <w:lvlJc w:val="left"/>
      <w:pPr>
        <w:tabs>
          <w:tab w:val="num" w:pos="4000"/>
        </w:tabs>
        <w:ind w:left="4000" w:hanging="400"/>
      </w:pPr>
      <w:rPr>
        <w:rFonts w:ascii="Symbol" w:hAnsi="Symbol" w:hint="default"/>
      </w:rPr>
    </w:lvl>
    <w:lvl w:ilvl="5" w:tplc="8D708938" w:tentative="1">
      <w:start w:val="1"/>
      <w:numFmt w:val="bullet"/>
      <w:lvlText w:val=""/>
      <w:lvlJc w:val="left"/>
      <w:pPr>
        <w:tabs>
          <w:tab w:val="num" w:pos="4800"/>
        </w:tabs>
        <w:ind w:left="4800" w:hanging="400"/>
      </w:pPr>
      <w:rPr>
        <w:rFonts w:ascii="Symbol" w:hAnsi="Symbol" w:hint="default"/>
      </w:rPr>
    </w:lvl>
    <w:lvl w:ilvl="6" w:tplc="A4A83AC6" w:tentative="1">
      <w:start w:val="1"/>
      <w:numFmt w:val="bullet"/>
      <w:lvlText w:val=""/>
      <w:lvlJc w:val="left"/>
      <w:pPr>
        <w:tabs>
          <w:tab w:val="num" w:pos="5600"/>
        </w:tabs>
        <w:ind w:left="5600" w:hanging="400"/>
      </w:pPr>
      <w:rPr>
        <w:rFonts w:ascii="Symbol" w:hAnsi="Symbol" w:hint="default"/>
      </w:rPr>
    </w:lvl>
    <w:lvl w:ilvl="7" w:tplc="1A4AF56C" w:tentative="1">
      <w:start w:val="1"/>
      <w:numFmt w:val="bullet"/>
      <w:lvlText w:val=""/>
      <w:lvlJc w:val="left"/>
      <w:pPr>
        <w:tabs>
          <w:tab w:val="num" w:pos="6400"/>
        </w:tabs>
        <w:ind w:left="6400" w:hanging="400"/>
      </w:pPr>
      <w:rPr>
        <w:rFonts w:ascii="Symbol" w:hAnsi="Symbol" w:hint="default"/>
      </w:rPr>
    </w:lvl>
    <w:lvl w:ilvl="8" w:tplc="FB164354" w:tentative="1">
      <w:start w:val="1"/>
      <w:numFmt w:val="bullet"/>
      <w:lvlText w:val=""/>
      <w:lvlJc w:val="left"/>
      <w:pPr>
        <w:tabs>
          <w:tab w:val="num" w:pos="7200"/>
        </w:tabs>
        <w:ind w:left="7200" w:hanging="400"/>
      </w:pPr>
      <w:rPr>
        <w:rFonts w:ascii="Symbol" w:hAnsi="Symbol" w:hint="default"/>
      </w:r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4"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3"/>
  </w:num>
  <w:num w:numId="3">
    <w:abstractNumId w:val="26"/>
  </w:num>
  <w:num w:numId="4">
    <w:abstractNumId w:val="24"/>
  </w:num>
  <w:num w:numId="5">
    <w:abstractNumId w:val="2"/>
  </w:num>
  <w:num w:numId="6">
    <w:abstractNumId w:val="7"/>
  </w:num>
  <w:num w:numId="7">
    <w:abstractNumId w:val="28"/>
  </w:num>
  <w:num w:numId="8">
    <w:abstractNumId w:val="21"/>
  </w:num>
  <w:num w:numId="9">
    <w:abstractNumId w:val="18"/>
  </w:num>
  <w:num w:numId="10">
    <w:abstractNumId w:val="10"/>
  </w:num>
  <w:num w:numId="11">
    <w:abstractNumId w:val="5"/>
  </w:num>
  <w:num w:numId="12">
    <w:abstractNumId w:val="12"/>
  </w:num>
  <w:num w:numId="13">
    <w:abstractNumId w:val="14"/>
  </w:num>
  <w:num w:numId="14">
    <w:abstractNumId w:val="20"/>
  </w:num>
  <w:num w:numId="15">
    <w:abstractNumId w:val="15"/>
  </w:num>
  <w:num w:numId="16">
    <w:abstractNumId w:val="19"/>
  </w:num>
  <w:num w:numId="17">
    <w:abstractNumId w:val="8"/>
  </w:num>
  <w:num w:numId="18">
    <w:abstractNumId w:val="16"/>
  </w:num>
  <w:num w:numId="19">
    <w:abstractNumId w:val="6"/>
  </w:num>
  <w:num w:numId="20">
    <w:abstractNumId w:val="3"/>
  </w:num>
  <w:num w:numId="21">
    <w:abstractNumId w:val="1"/>
  </w:num>
  <w:num w:numId="22">
    <w:abstractNumId w:val="27"/>
  </w:num>
  <w:num w:numId="23">
    <w:abstractNumId w:val="32"/>
  </w:num>
  <w:num w:numId="24">
    <w:abstractNumId w:val="22"/>
  </w:num>
  <w:num w:numId="25">
    <w:abstractNumId w:val="9"/>
  </w:num>
  <w:num w:numId="26">
    <w:abstractNumId w:val="17"/>
  </w:num>
  <w:num w:numId="27">
    <w:abstractNumId w:val="35"/>
  </w:num>
  <w:num w:numId="28">
    <w:abstractNumId w:val="4"/>
  </w:num>
  <w:num w:numId="29">
    <w:abstractNumId w:val="36"/>
  </w:num>
  <w:num w:numId="30">
    <w:abstractNumId w:val="29"/>
  </w:num>
  <w:num w:numId="31">
    <w:abstractNumId w:val="31"/>
  </w:num>
  <w:num w:numId="32">
    <w:abstractNumId w:val="30"/>
  </w:num>
  <w:num w:numId="33">
    <w:abstractNumId w:val="11"/>
  </w:num>
  <w:num w:numId="34">
    <w:abstractNumId w:val="13"/>
  </w:num>
  <w:num w:numId="35">
    <w:abstractNumId w:val="34"/>
  </w:num>
  <w:num w:numId="36">
    <w:abstractNumId w:val="25"/>
  </w:num>
  <w:num w:numId="3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272F9"/>
    <w:rsid w:val="00031C67"/>
    <w:rsid w:val="0003286A"/>
    <w:rsid w:val="00033C91"/>
    <w:rsid w:val="00036E43"/>
    <w:rsid w:val="00036FBD"/>
    <w:rsid w:val="00043F1C"/>
    <w:rsid w:val="00045950"/>
    <w:rsid w:val="000516E9"/>
    <w:rsid w:val="00052273"/>
    <w:rsid w:val="000522DC"/>
    <w:rsid w:val="0005351A"/>
    <w:rsid w:val="00053CF2"/>
    <w:rsid w:val="00054EFC"/>
    <w:rsid w:val="00062DAC"/>
    <w:rsid w:val="000630F8"/>
    <w:rsid w:val="000636AB"/>
    <w:rsid w:val="000648AA"/>
    <w:rsid w:val="000654B8"/>
    <w:rsid w:val="000708FC"/>
    <w:rsid w:val="00071303"/>
    <w:rsid w:val="00071CA4"/>
    <w:rsid w:val="00071FAC"/>
    <w:rsid w:val="000725DE"/>
    <w:rsid w:val="0007266B"/>
    <w:rsid w:val="000759CA"/>
    <w:rsid w:val="00076203"/>
    <w:rsid w:val="00082C68"/>
    <w:rsid w:val="00085D46"/>
    <w:rsid w:val="000865BB"/>
    <w:rsid w:val="00091353"/>
    <w:rsid w:val="00094CF7"/>
    <w:rsid w:val="000954FF"/>
    <w:rsid w:val="00097132"/>
    <w:rsid w:val="000A4343"/>
    <w:rsid w:val="000A4C99"/>
    <w:rsid w:val="000A69F1"/>
    <w:rsid w:val="000B2515"/>
    <w:rsid w:val="000B26CD"/>
    <w:rsid w:val="000B4C53"/>
    <w:rsid w:val="000B5776"/>
    <w:rsid w:val="000B79DB"/>
    <w:rsid w:val="000B7EA7"/>
    <w:rsid w:val="000C1BEF"/>
    <w:rsid w:val="000C3BA5"/>
    <w:rsid w:val="000C3D60"/>
    <w:rsid w:val="000C4534"/>
    <w:rsid w:val="000C76B0"/>
    <w:rsid w:val="000D14E8"/>
    <w:rsid w:val="000D33CF"/>
    <w:rsid w:val="000D4388"/>
    <w:rsid w:val="000E2D63"/>
    <w:rsid w:val="000E4D48"/>
    <w:rsid w:val="000E5340"/>
    <w:rsid w:val="000F53D2"/>
    <w:rsid w:val="000F6CD3"/>
    <w:rsid w:val="00100CB6"/>
    <w:rsid w:val="001025F1"/>
    <w:rsid w:val="001049A9"/>
    <w:rsid w:val="0010634F"/>
    <w:rsid w:val="0011260E"/>
    <w:rsid w:val="00113696"/>
    <w:rsid w:val="00116050"/>
    <w:rsid w:val="0011608C"/>
    <w:rsid w:val="0011677C"/>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455"/>
    <w:rsid w:val="00143B6B"/>
    <w:rsid w:val="00144461"/>
    <w:rsid w:val="00144FD6"/>
    <w:rsid w:val="00145749"/>
    <w:rsid w:val="00146C2B"/>
    <w:rsid w:val="00146D64"/>
    <w:rsid w:val="001478A5"/>
    <w:rsid w:val="001548A4"/>
    <w:rsid w:val="00155238"/>
    <w:rsid w:val="0015579F"/>
    <w:rsid w:val="00155B86"/>
    <w:rsid w:val="00157CBF"/>
    <w:rsid w:val="00160244"/>
    <w:rsid w:val="00161457"/>
    <w:rsid w:val="00163B2A"/>
    <w:rsid w:val="00164047"/>
    <w:rsid w:val="00171814"/>
    <w:rsid w:val="001815AF"/>
    <w:rsid w:val="00183843"/>
    <w:rsid w:val="00186BD0"/>
    <w:rsid w:val="00190D5F"/>
    <w:rsid w:val="00194E4C"/>
    <w:rsid w:val="001976C0"/>
    <w:rsid w:val="001A280C"/>
    <w:rsid w:val="001A2DA0"/>
    <w:rsid w:val="001A3F8B"/>
    <w:rsid w:val="001B1413"/>
    <w:rsid w:val="001B3BBE"/>
    <w:rsid w:val="001B5D14"/>
    <w:rsid w:val="001B6510"/>
    <w:rsid w:val="001C310B"/>
    <w:rsid w:val="001C3536"/>
    <w:rsid w:val="001C53A5"/>
    <w:rsid w:val="001D2E94"/>
    <w:rsid w:val="001D7B15"/>
    <w:rsid w:val="001E0003"/>
    <w:rsid w:val="001E2705"/>
    <w:rsid w:val="001E65A1"/>
    <w:rsid w:val="001E74C8"/>
    <w:rsid w:val="001E7A9F"/>
    <w:rsid w:val="001F3872"/>
    <w:rsid w:val="00201E86"/>
    <w:rsid w:val="00206B06"/>
    <w:rsid w:val="00211065"/>
    <w:rsid w:val="00214652"/>
    <w:rsid w:val="00220DFC"/>
    <w:rsid w:val="00221872"/>
    <w:rsid w:val="00224BDD"/>
    <w:rsid w:val="00224D60"/>
    <w:rsid w:val="002356ED"/>
    <w:rsid w:val="002370A5"/>
    <w:rsid w:val="002424B4"/>
    <w:rsid w:val="002432CA"/>
    <w:rsid w:val="0025097E"/>
    <w:rsid w:val="0025177E"/>
    <w:rsid w:val="00252A27"/>
    <w:rsid w:val="00254BC5"/>
    <w:rsid w:val="002559DF"/>
    <w:rsid w:val="00261F7A"/>
    <w:rsid w:val="0026235D"/>
    <w:rsid w:val="002634F2"/>
    <w:rsid w:val="00263FC4"/>
    <w:rsid w:val="002641BB"/>
    <w:rsid w:val="00265ACE"/>
    <w:rsid w:val="00266C7C"/>
    <w:rsid w:val="0027509E"/>
    <w:rsid w:val="002770F5"/>
    <w:rsid w:val="00280F31"/>
    <w:rsid w:val="00283FDF"/>
    <w:rsid w:val="00293BDF"/>
    <w:rsid w:val="00295F10"/>
    <w:rsid w:val="002A284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7B11"/>
    <w:rsid w:val="00317DC9"/>
    <w:rsid w:val="00321708"/>
    <w:rsid w:val="00325387"/>
    <w:rsid w:val="003260A1"/>
    <w:rsid w:val="0032639B"/>
    <w:rsid w:val="003338A7"/>
    <w:rsid w:val="00334559"/>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65923"/>
    <w:rsid w:val="00374164"/>
    <w:rsid w:val="00377362"/>
    <w:rsid w:val="0038067B"/>
    <w:rsid w:val="00390400"/>
    <w:rsid w:val="003913C2"/>
    <w:rsid w:val="00392CC7"/>
    <w:rsid w:val="00395FFC"/>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325"/>
    <w:rsid w:val="003E2817"/>
    <w:rsid w:val="003F03C5"/>
    <w:rsid w:val="003F41C3"/>
    <w:rsid w:val="003F6ECF"/>
    <w:rsid w:val="003F727C"/>
    <w:rsid w:val="003F7E26"/>
    <w:rsid w:val="00401A55"/>
    <w:rsid w:val="00402BD4"/>
    <w:rsid w:val="00404CDF"/>
    <w:rsid w:val="00406DE0"/>
    <w:rsid w:val="00407101"/>
    <w:rsid w:val="0041119E"/>
    <w:rsid w:val="00415BE3"/>
    <w:rsid w:val="00415F1B"/>
    <w:rsid w:val="00416D16"/>
    <w:rsid w:val="00417F0E"/>
    <w:rsid w:val="004202CA"/>
    <w:rsid w:val="004236E2"/>
    <w:rsid w:val="00423A97"/>
    <w:rsid w:val="0042547F"/>
    <w:rsid w:val="00426821"/>
    <w:rsid w:val="00432614"/>
    <w:rsid w:val="00433777"/>
    <w:rsid w:val="00434064"/>
    <w:rsid w:val="00434872"/>
    <w:rsid w:val="00437CFF"/>
    <w:rsid w:val="00440803"/>
    <w:rsid w:val="00440CE2"/>
    <w:rsid w:val="004475EA"/>
    <w:rsid w:val="00456430"/>
    <w:rsid w:val="00456F05"/>
    <w:rsid w:val="00462B00"/>
    <w:rsid w:val="00473042"/>
    <w:rsid w:val="00473532"/>
    <w:rsid w:val="00473FFF"/>
    <w:rsid w:val="00474907"/>
    <w:rsid w:val="004751B7"/>
    <w:rsid w:val="00476628"/>
    <w:rsid w:val="00476647"/>
    <w:rsid w:val="004766D8"/>
    <w:rsid w:val="00476B5A"/>
    <w:rsid w:val="004774E5"/>
    <w:rsid w:val="00480A9B"/>
    <w:rsid w:val="0048181A"/>
    <w:rsid w:val="004865F2"/>
    <w:rsid w:val="004870A4"/>
    <w:rsid w:val="00490946"/>
    <w:rsid w:val="00491F63"/>
    <w:rsid w:val="00492BC0"/>
    <w:rsid w:val="004931EB"/>
    <w:rsid w:val="004937A5"/>
    <w:rsid w:val="00493A02"/>
    <w:rsid w:val="004A18A4"/>
    <w:rsid w:val="004A34C4"/>
    <w:rsid w:val="004A5E31"/>
    <w:rsid w:val="004A6F4B"/>
    <w:rsid w:val="004B2197"/>
    <w:rsid w:val="004B2C98"/>
    <w:rsid w:val="004B347C"/>
    <w:rsid w:val="004B3B77"/>
    <w:rsid w:val="004B48BB"/>
    <w:rsid w:val="004B7AF4"/>
    <w:rsid w:val="004C09AF"/>
    <w:rsid w:val="004C6878"/>
    <w:rsid w:val="004C73AF"/>
    <w:rsid w:val="004D2152"/>
    <w:rsid w:val="004D48FE"/>
    <w:rsid w:val="004D4CE2"/>
    <w:rsid w:val="004D7071"/>
    <w:rsid w:val="004D7912"/>
    <w:rsid w:val="004E101C"/>
    <w:rsid w:val="004E1278"/>
    <w:rsid w:val="004E6344"/>
    <w:rsid w:val="004F346E"/>
    <w:rsid w:val="004F379A"/>
    <w:rsid w:val="004F55C0"/>
    <w:rsid w:val="0050472E"/>
    <w:rsid w:val="00506189"/>
    <w:rsid w:val="005103B0"/>
    <w:rsid w:val="00510B5B"/>
    <w:rsid w:val="005156E1"/>
    <w:rsid w:val="00517453"/>
    <w:rsid w:val="00523301"/>
    <w:rsid w:val="005233B3"/>
    <w:rsid w:val="0052370E"/>
    <w:rsid w:val="00524BE1"/>
    <w:rsid w:val="00526E42"/>
    <w:rsid w:val="005307DC"/>
    <w:rsid w:val="0053336B"/>
    <w:rsid w:val="00536396"/>
    <w:rsid w:val="00537A0E"/>
    <w:rsid w:val="005440A1"/>
    <w:rsid w:val="00544B01"/>
    <w:rsid w:val="00555F55"/>
    <w:rsid w:val="00561DC4"/>
    <w:rsid w:val="005621D6"/>
    <w:rsid w:val="00563945"/>
    <w:rsid w:val="005662D0"/>
    <w:rsid w:val="005733AF"/>
    <w:rsid w:val="00577D96"/>
    <w:rsid w:val="00580199"/>
    <w:rsid w:val="00580DE7"/>
    <w:rsid w:val="00581E7A"/>
    <w:rsid w:val="00585236"/>
    <w:rsid w:val="00590524"/>
    <w:rsid w:val="00591B9B"/>
    <w:rsid w:val="005A08CF"/>
    <w:rsid w:val="005A0EE5"/>
    <w:rsid w:val="005A53C9"/>
    <w:rsid w:val="005B24FD"/>
    <w:rsid w:val="005B6ABC"/>
    <w:rsid w:val="005C4BB6"/>
    <w:rsid w:val="005C5014"/>
    <w:rsid w:val="005C7907"/>
    <w:rsid w:val="005D0460"/>
    <w:rsid w:val="005D1981"/>
    <w:rsid w:val="005D2C1E"/>
    <w:rsid w:val="005D4D60"/>
    <w:rsid w:val="005D4D9F"/>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4546"/>
    <w:rsid w:val="006150B0"/>
    <w:rsid w:val="006154F9"/>
    <w:rsid w:val="00617A66"/>
    <w:rsid w:val="00620A57"/>
    <w:rsid w:val="00621D7B"/>
    <w:rsid w:val="00624E10"/>
    <w:rsid w:val="006272BB"/>
    <w:rsid w:val="00632480"/>
    <w:rsid w:val="00633AE8"/>
    <w:rsid w:val="0063409A"/>
    <w:rsid w:val="006340A4"/>
    <w:rsid w:val="00636137"/>
    <w:rsid w:val="006416C6"/>
    <w:rsid w:val="006424B9"/>
    <w:rsid w:val="00644E5C"/>
    <w:rsid w:val="006454DD"/>
    <w:rsid w:val="0065023E"/>
    <w:rsid w:val="00650C31"/>
    <w:rsid w:val="0065531D"/>
    <w:rsid w:val="00655EE6"/>
    <w:rsid w:val="0065655F"/>
    <w:rsid w:val="0065682A"/>
    <w:rsid w:val="00656967"/>
    <w:rsid w:val="00663A39"/>
    <w:rsid w:val="006671A2"/>
    <w:rsid w:val="006702D6"/>
    <w:rsid w:val="00672506"/>
    <w:rsid w:val="006757AB"/>
    <w:rsid w:val="006763C3"/>
    <w:rsid w:val="00677691"/>
    <w:rsid w:val="006777A6"/>
    <w:rsid w:val="006821EB"/>
    <w:rsid w:val="00683767"/>
    <w:rsid w:val="00686582"/>
    <w:rsid w:val="0068663F"/>
    <w:rsid w:val="00686829"/>
    <w:rsid w:val="00686866"/>
    <w:rsid w:val="0068696D"/>
    <w:rsid w:val="00691FA5"/>
    <w:rsid w:val="006923F6"/>
    <w:rsid w:val="0069323F"/>
    <w:rsid w:val="00694004"/>
    <w:rsid w:val="00694C52"/>
    <w:rsid w:val="006A0F63"/>
    <w:rsid w:val="006A18B6"/>
    <w:rsid w:val="006A4091"/>
    <w:rsid w:val="006A509B"/>
    <w:rsid w:val="006B19CA"/>
    <w:rsid w:val="006B661E"/>
    <w:rsid w:val="006B715A"/>
    <w:rsid w:val="006B72B5"/>
    <w:rsid w:val="006C34BE"/>
    <w:rsid w:val="006C49B3"/>
    <w:rsid w:val="006D64EC"/>
    <w:rsid w:val="006D7DEE"/>
    <w:rsid w:val="006E0074"/>
    <w:rsid w:val="006E7E8E"/>
    <w:rsid w:val="006F11F1"/>
    <w:rsid w:val="006F23D5"/>
    <w:rsid w:val="006F636F"/>
    <w:rsid w:val="006F7E18"/>
    <w:rsid w:val="00702317"/>
    <w:rsid w:val="00702631"/>
    <w:rsid w:val="007102EA"/>
    <w:rsid w:val="00721153"/>
    <w:rsid w:val="00722E63"/>
    <w:rsid w:val="0072530D"/>
    <w:rsid w:val="00726CCA"/>
    <w:rsid w:val="00733AC5"/>
    <w:rsid w:val="007348BD"/>
    <w:rsid w:val="007359C2"/>
    <w:rsid w:val="00746F4E"/>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2668"/>
    <w:rsid w:val="00793FA1"/>
    <w:rsid w:val="00793FE6"/>
    <w:rsid w:val="00795EFF"/>
    <w:rsid w:val="0079789B"/>
    <w:rsid w:val="007A1A34"/>
    <w:rsid w:val="007A2875"/>
    <w:rsid w:val="007A3727"/>
    <w:rsid w:val="007A597C"/>
    <w:rsid w:val="007A6918"/>
    <w:rsid w:val="007A7762"/>
    <w:rsid w:val="007B09D4"/>
    <w:rsid w:val="007B299C"/>
    <w:rsid w:val="007C3AA9"/>
    <w:rsid w:val="007C4DBF"/>
    <w:rsid w:val="007D6E67"/>
    <w:rsid w:val="007D7457"/>
    <w:rsid w:val="007E11F9"/>
    <w:rsid w:val="007E1748"/>
    <w:rsid w:val="007E1C6C"/>
    <w:rsid w:val="007E2C06"/>
    <w:rsid w:val="007E32C8"/>
    <w:rsid w:val="007E4183"/>
    <w:rsid w:val="007E570E"/>
    <w:rsid w:val="007F12E5"/>
    <w:rsid w:val="007F3801"/>
    <w:rsid w:val="00800D8F"/>
    <w:rsid w:val="00801E9D"/>
    <w:rsid w:val="008030E1"/>
    <w:rsid w:val="00805124"/>
    <w:rsid w:val="00811982"/>
    <w:rsid w:val="00815A9F"/>
    <w:rsid w:val="00816612"/>
    <w:rsid w:val="00822352"/>
    <w:rsid w:val="00824106"/>
    <w:rsid w:val="0083059D"/>
    <w:rsid w:val="0083099F"/>
    <w:rsid w:val="008346CB"/>
    <w:rsid w:val="00835D06"/>
    <w:rsid w:val="00837682"/>
    <w:rsid w:val="008425CD"/>
    <w:rsid w:val="008449D6"/>
    <w:rsid w:val="00852571"/>
    <w:rsid w:val="00854FBF"/>
    <w:rsid w:val="0085507B"/>
    <w:rsid w:val="008551DE"/>
    <w:rsid w:val="00855E82"/>
    <w:rsid w:val="00861983"/>
    <w:rsid w:val="0086338C"/>
    <w:rsid w:val="00865474"/>
    <w:rsid w:val="008660A7"/>
    <w:rsid w:val="00872A6B"/>
    <w:rsid w:val="00876FC2"/>
    <w:rsid w:val="00880043"/>
    <w:rsid w:val="00880DFB"/>
    <w:rsid w:val="0088219F"/>
    <w:rsid w:val="00891216"/>
    <w:rsid w:val="008A3376"/>
    <w:rsid w:val="008A3637"/>
    <w:rsid w:val="008B572F"/>
    <w:rsid w:val="008B74C7"/>
    <w:rsid w:val="008C3CB0"/>
    <w:rsid w:val="008C4BE8"/>
    <w:rsid w:val="008C7295"/>
    <w:rsid w:val="008D1931"/>
    <w:rsid w:val="008D6648"/>
    <w:rsid w:val="008E41BC"/>
    <w:rsid w:val="008E57DD"/>
    <w:rsid w:val="008E595B"/>
    <w:rsid w:val="008E6F40"/>
    <w:rsid w:val="008E6F60"/>
    <w:rsid w:val="008F332C"/>
    <w:rsid w:val="008F779A"/>
    <w:rsid w:val="0090009C"/>
    <w:rsid w:val="00904E0F"/>
    <w:rsid w:val="009073AF"/>
    <w:rsid w:val="009117EB"/>
    <w:rsid w:val="00914CB3"/>
    <w:rsid w:val="00922EA7"/>
    <w:rsid w:val="00922FAD"/>
    <w:rsid w:val="009278C1"/>
    <w:rsid w:val="009462F3"/>
    <w:rsid w:val="00952B58"/>
    <w:rsid w:val="00953230"/>
    <w:rsid w:val="00954130"/>
    <w:rsid w:val="009544EF"/>
    <w:rsid w:val="0096091D"/>
    <w:rsid w:val="00963C1A"/>
    <w:rsid w:val="00965248"/>
    <w:rsid w:val="0096554E"/>
    <w:rsid w:val="00967E9C"/>
    <w:rsid w:val="009709E9"/>
    <w:rsid w:val="009711FE"/>
    <w:rsid w:val="00973E05"/>
    <w:rsid w:val="009752B9"/>
    <w:rsid w:val="00976AE0"/>
    <w:rsid w:val="009833F4"/>
    <w:rsid w:val="00984521"/>
    <w:rsid w:val="0098782C"/>
    <w:rsid w:val="009909A2"/>
    <w:rsid w:val="009915AF"/>
    <w:rsid w:val="00991DF9"/>
    <w:rsid w:val="00991E11"/>
    <w:rsid w:val="00991EDB"/>
    <w:rsid w:val="009A118B"/>
    <w:rsid w:val="009A1A3C"/>
    <w:rsid w:val="009A4C63"/>
    <w:rsid w:val="009A65A0"/>
    <w:rsid w:val="009A7390"/>
    <w:rsid w:val="009A7B32"/>
    <w:rsid w:val="009B14A8"/>
    <w:rsid w:val="009B16CA"/>
    <w:rsid w:val="009C0523"/>
    <w:rsid w:val="009C0E9A"/>
    <w:rsid w:val="009C15EC"/>
    <w:rsid w:val="009C2302"/>
    <w:rsid w:val="009C37C7"/>
    <w:rsid w:val="009C6267"/>
    <w:rsid w:val="009D7A16"/>
    <w:rsid w:val="009D7BCA"/>
    <w:rsid w:val="009E06EC"/>
    <w:rsid w:val="009E19C1"/>
    <w:rsid w:val="009E35FE"/>
    <w:rsid w:val="009F1244"/>
    <w:rsid w:val="009F1BDE"/>
    <w:rsid w:val="009F2417"/>
    <w:rsid w:val="009F2763"/>
    <w:rsid w:val="009F2A0E"/>
    <w:rsid w:val="009F2BA3"/>
    <w:rsid w:val="009F35A9"/>
    <w:rsid w:val="009F59EC"/>
    <w:rsid w:val="009F5CBA"/>
    <w:rsid w:val="00A01840"/>
    <w:rsid w:val="00A04F83"/>
    <w:rsid w:val="00A05659"/>
    <w:rsid w:val="00A068CD"/>
    <w:rsid w:val="00A10ACF"/>
    <w:rsid w:val="00A11C1D"/>
    <w:rsid w:val="00A150E3"/>
    <w:rsid w:val="00A16A85"/>
    <w:rsid w:val="00A1769A"/>
    <w:rsid w:val="00A21826"/>
    <w:rsid w:val="00A21B1F"/>
    <w:rsid w:val="00A2286A"/>
    <w:rsid w:val="00A22AA1"/>
    <w:rsid w:val="00A27F68"/>
    <w:rsid w:val="00A333BE"/>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4D00"/>
    <w:rsid w:val="00A9540E"/>
    <w:rsid w:val="00A9543C"/>
    <w:rsid w:val="00A9725B"/>
    <w:rsid w:val="00AA1B44"/>
    <w:rsid w:val="00AA5947"/>
    <w:rsid w:val="00AA759F"/>
    <w:rsid w:val="00AB58BF"/>
    <w:rsid w:val="00AC36E3"/>
    <w:rsid w:val="00AC3DA6"/>
    <w:rsid w:val="00AC4AAF"/>
    <w:rsid w:val="00AC4FAF"/>
    <w:rsid w:val="00AC5263"/>
    <w:rsid w:val="00AC56B3"/>
    <w:rsid w:val="00AC57DF"/>
    <w:rsid w:val="00AC7BDF"/>
    <w:rsid w:val="00AD6488"/>
    <w:rsid w:val="00AD77CD"/>
    <w:rsid w:val="00AD7E1C"/>
    <w:rsid w:val="00AE0E01"/>
    <w:rsid w:val="00AE56DD"/>
    <w:rsid w:val="00AF3F60"/>
    <w:rsid w:val="00AF5B7A"/>
    <w:rsid w:val="00AF7232"/>
    <w:rsid w:val="00B039A1"/>
    <w:rsid w:val="00B07049"/>
    <w:rsid w:val="00B21E94"/>
    <w:rsid w:val="00B231CC"/>
    <w:rsid w:val="00B23A8C"/>
    <w:rsid w:val="00B33174"/>
    <w:rsid w:val="00B366A7"/>
    <w:rsid w:val="00B422EB"/>
    <w:rsid w:val="00B42BF0"/>
    <w:rsid w:val="00B42C9B"/>
    <w:rsid w:val="00B43FB2"/>
    <w:rsid w:val="00B458E2"/>
    <w:rsid w:val="00B45E24"/>
    <w:rsid w:val="00B47BF6"/>
    <w:rsid w:val="00B51147"/>
    <w:rsid w:val="00B536FA"/>
    <w:rsid w:val="00B573BD"/>
    <w:rsid w:val="00B57C4A"/>
    <w:rsid w:val="00B63DE8"/>
    <w:rsid w:val="00B65021"/>
    <w:rsid w:val="00B66F94"/>
    <w:rsid w:val="00B67D06"/>
    <w:rsid w:val="00B70B76"/>
    <w:rsid w:val="00B717AC"/>
    <w:rsid w:val="00B71DC8"/>
    <w:rsid w:val="00B75A11"/>
    <w:rsid w:val="00B76E2D"/>
    <w:rsid w:val="00B77DF2"/>
    <w:rsid w:val="00B83E15"/>
    <w:rsid w:val="00B85D81"/>
    <w:rsid w:val="00B90BF4"/>
    <w:rsid w:val="00B925F0"/>
    <w:rsid w:val="00B93082"/>
    <w:rsid w:val="00B9397F"/>
    <w:rsid w:val="00B94D61"/>
    <w:rsid w:val="00B96B54"/>
    <w:rsid w:val="00BA20E6"/>
    <w:rsid w:val="00BA3C06"/>
    <w:rsid w:val="00BA47B0"/>
    <w:rsid w:val="00BA68C4"/>
    <w:rsid w:val="00BA7F05"/>
    <w:rsid w:val="00BB0D79"/>
    <w:rsid w:val="00BB1B38"/>
    <w:rsid w:val="00BB2AC3"/>
    <w:rsid w:val="00BB459F"/>
    <w:rsid w:val="00BC0F8D"/>
    <w:rsid w:val="00BC4D22"/>
    <w:rsid w:val="00BC72F3"/>
    <w:rsid w:val="00BD54F8"/>
    <w:rsid w:val="00BD5DD2"/>
    <w:rsid w:val="00BD73CF"/>
    <w:rsid w:val="00BE1F1B"/>
    <w:rsid w:val="00BE361E"/>
    <w:rsid w:val="00BE62AB"/>
    <w:rsid w:val="00BF0386"/>
    <w:rsid w:val="00BF154D"/>
    <w:rsid w:val="00BF1E3A"/>
    <w:rsid w:val="00C009E8"/>
    <w:rsid w:val="00C00CFA"/>
    <w:rsid w:val="00C010D8"/>
    <w:rsid w:val="00C02A50"/>
    <w:rsid w:val="00C11047"/>
    <w:rsid w:val="00C1178C"/>
    <w:rsid w:val="00C12DD8"/>
    <w:rsid w:val="00C1568B"/>
    <w:rsid w:val="00C158C6"/>
    <w:rsid w:val="00C21280"/>
    <w:rsid w:val="00C2552C"/>
    <w:rsid w:val="00C255BD"/>
    <w:rsid w:val="00C313FD"/>
    <w:rsid w:val="00C31E0B"/>
    <w:rsid w:val="00C341E6"/>
    <w:rsid w:val="00C34214"/>
    <w:rsid w:val="00C35619"/>
    <w:rsid w:val="00C3749B"/>
    <w:rsid w:val="00C416AC"/>
    <w:rsid w:val="00C416FF"/>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44FE"/>
    <w:rsid w:val="00C7577B"/>
    <w:rsid w:val="00C76DEA"/>
    <w:rsid w:val="00C80DA1"/>
    <w:rsid w:val="00C846B6"/>
    <w:rsid w:val="00C8776B"/>
    <w:rsid w:val="00C915A5"/>
    <w:rsid w:val="00C91CD9"/>
    <w:rsid w:val="00C92BBB"/>
    <w:rsid w:val="00C93AC7"/>
    <w:rsid w:val="00C93DB7"/>
    <w:rsid w:val="00C95277"/>
    <w:rsid w:val="00C95F89"/>
    <w:rsid w:val="00CA3A49"/>
    <w:rsid w:val="00CA4EC5"/>
    <w:rsid w:val="00CA6FCC"/>
    <w:rsid w:val="00CB1AD5"/>
    <w:rsid w:val="00CB5402"/>
    <w:rsid w:val="00CB585E"/>
    <w:rsid w:val="00CB73F5"/>
    <w:rsid w:val="00CB798D"/>
    <w:rsid w:val="00CC13A4"/>
    <w:rsid w:val="00CC3277"/>
    <w:rsid w:val="00CC36E7"/>
    <w:rsid w:val="00CC7909"/>
    <w:rsid w:val="00CC7A39"/>
    <w:rsid w:val="00CD3DC8"/>
    <w:rsid w:val="00CD53D5"/>
    <w:rsid w:val="00CD6223"/>
    <w:rsid w:val="00CD706F"/>
    <w:rsid w:val="00CE0236"/>
    <w:rsid w:val="00CE02D3"/>
    <w:rsid w:val="00CE6979"/>
    <w:rsid w:val="00CE785C"/>
    <w:rsid w:val="00CF26C0"/>
    <w:rsid w:val="00CF37E6"/>
    <w:rsid w:val="00CF6D1F"/>
    <w:rsid w:val="00D02A87"/>
    <w:rsid w:val="00D0302D"/>
    <w:rsid w:val="00D05460"/>
    <w:rsid w:val="00D0657F"/>
    <w:rsid w:val="00D224DA"/>
    <w:rsid w:val="00D24F3E"/>
    <w:rsid w:val="00D26D58"/>
    <w:rsid w:val="00D272C9"/>
    <w:rsid w:val="00D2735B"/>
    <w:rsid w:val="00D351CB"/>
    <w:rsid w:val="00D42640"/>
    <w:rsid w:val="00D43EA8"/>
    <w:rsid w:val="00D44196"/>
    <w:rsid w:val="00D469FC"/>
    <w:rsid w:val="00D47164"/>
    <w:rsid w:val="00D54D86"/>
    <w:rsid w:val="00D57A3B"/>
    <w:rsid w:val="00D641D2"/>
    <w:rsid w:val="00D641EE"/>
    <w:rsid w:val="00D70DCC"/>
    <w:rsid w:val="00D77D5D"/>
    <w:rsid w:val="00D820D2"/>
    <w:rsid w:val="00D82858"/>
    <w:rsid w:val="00D90ACE"/>
    <w:rsid w:val="00D95CA3"/>
    <w:rsid w:val="00DA08D8"/>
    <w:rsid w:val="00DA5A82"/>
    <w:rsid w:val="00DB152E"/>
    <w:rsid w:val="00DB2978"/>
    <w:rsid w:val="00DB314B"/>
    <w:rsid w:val="00DB6021"/>
    <w:rsid w:val="00DB6A12"/>
    <w:rsid w:val="00DB736B"/>
    <w:rsid w:val="00DC1454"/>
    <w:rsid w:val="00DC1C10"/>
    <w:rsid w:val="00DC2C2A"/>
    <w:rsid w:val="00DC613F"/>
    <w:rsid w:val="00DC7D1D"/>
    <w:rsid w:val="00DD1A66"/>
    <w:rsid w:val="00DD33B9"/>
    <w:rsid w:val="00DD64C9"/>
    <w:rsid w:val="00DD68FC"/>
    <w:rsid w:val="00DE0178"/>
    <w:rsid w:val="00DE07C5"/>
    <w:rsid w:val="00DF0C41"/>
    <w:rsid w:val="00DF1D0E"/>
    <w:rsid w:val="00E01203"/>
    <w:rsid w:val="00E026E4"/>
    <w:rsid w:val="00E04CB4"/>
    <w:rsid w:val="00E079E2"/>
    <w:rsid w:val="00E10AAE"/>
    <w:rsid w:val="00E1175B"/>
    <w:rsid w:val="00E11D94"/>
    <w:rsid w:val="00E12EC5"/>
    <w:rsid w:val="00E14E68"/>
    <w:rsid w:val="00E15B58"/>
    <w:rsid w:val="00E16564"/>
    <w:rsid w:val="00E16E6B"/>
    <w:rsid w:val="00E20B6D"/>
    <w:rsid w:val="00E20BA1"/>
    <w:rsid w:val="00E211A5"/>
    <w:rsid w:val="00E2734B"/>
    <w:rsid w:val="00E27B79"/>
    <w:rsid w:val="00E33709"/>
    <w:rsid w:val="00E36209"/>
    <w:rsid w:val="00E5062B"/>
    <w:rsid w:val="00E5385A"/>
    <w:rsid w:val="00E6040A"/>
    <w:rsid w:val="00E6258B"/>
    <w:rsid w:val="00E63B29"/>
    <w:rsid w:val="00E66070"/>
    <w:rsid w:val="00E67241"/>
    <w:rsid w:val="00E72005"/>
    <w:rsid w:val="00E74856"/>
    <w:rsid w:val="00E76ADC"/>
    <w:rsid w:val="00E77287"/>
    <w:rsid w:val="00E820BC"/>
    <w:rsid w:val="00E82B33"/>
    <w:rsid w:val="00E82F10"/>
    <w:rsid w:val="00E83339"/>
    <w:rsid w:val="00E8727F"/>
    <w:rsid w:val="00E91885"/>
    <w:rsid w:val="00E91B9D"/>
    <w:rsid w:val="00E9379D"/>
    <w:rsid w:val="00EA3323"/>
    <w:rsid w:val="00EA3BB5"/>
    <w:rsid w:val="00EA4CBA"/>
    <w:rsid w:val="00EA5CE1"/>
    <w:rsid w:val="00EA62B0"/>
    <w:rsid w:val="00EB0F8B"/>
    <w:rsid w:val="00EB2CDE"/>
    <w:rsid w:val="00EB333F"/>
    <w:rsid w:val="00EB39C9"/>
    <w:rsid w:val="00EB3FA4"/>
    <w:rsid w:val="00EB5D5B"/>
    <w:rsid w:val="00EC26B4"/>
    <w:rsid w:val="00EC3816"/>
    <w:rsid w:val="00EC5CF6"/>
    <w:rsid w:val="00EC7AB4"/>
    <w:rsid w:val="00ED1738"/>
    <w:rsid w:val="00ED633F"/>
    <w:rsid w:val="00EE0EE2"/>
    <w:rsid w:val="00EE2EE8"/>
    <w:rsid w:val="00EE5D1C"/>
    <w:rsid w:val="00EF1344"/>
    <w:rsid w:val="00EF494A"/>
    <w:rsid w:val="00EF5692"/>
    <w:rsid w:val="00EF77B2"/>
    <w:rsid w:val="00F12D1F"/>
    <w:rsid w:val="00F13437"/>
    <w:rsid w:val="00F14361"/>
    <w:rsid w:val="00F20676"/>
    <w:rsid w:val="00F20EBF"/>
    <w:rsid w:val="00F222C1"/>
    <w:rsid w:val="00F23F6A"/>
    <w:rsid w:val="00F24D99"/>
    <w:rsid w:val="00F271EE"/>
    <w:rsid w:val="00F30253"/>
    <w:rsid w:val="00F30F44"/>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151"/>
    <w:rsid w:val="00F742B9"/>
    <w:rsid w:val="00F7541D"/>
    <w:rsid w:val="00F832EB"/>
    <w:rsid w:val="00F9260C"/>
    <w:rsid w:val="00F92B2B"/>
    <w:rsid w:val="00F93373"/>
    <w:rsid w:val="00F94652"/>
    <w:rsid w:val="00F9666C"/>
    <w:rsid w:val="00F97A2B"/>
    <w:rsid w:val="00FA16C8"/>
    <w:rsid w:val="00FA1739"/>
    <w:rsid w:val="00FA3795"/>
    <w:rsid w:val="00FA4B32"/>
    <w:rsid w:val="00FB0866"/>
    <w:rsid w:val="00FB0EF2"/>
    <w:rsid w:val="00FB26E2"/>
    <w:rsid w:val="00FB3E18"/>
    <w:rsid w:val="00FB52DC"/>
    <w:rsid w:val="00FC3CD5"/>
    <w:rsid w:val="00FC6BC0"/>
    <w:rsid w:val="00FD0850"/>
    <w:rsid w:val="00FD4292"/>
    <w:rsid w:val="00FE2592"/>
    <w:rsid w:val="00FE508C"/>
    <w:rsid w:val="00FF1F6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84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网格型"/>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Doc-comment">
    <w:name w:val="Doc-comment"/>
    <w:basedOn w:val="a"/>
    <w:next w:val="Doc-text2"/>
    <w:qFormat/>
    <w:rsid w:val="00CA3A49"/>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1900</TotalTime>
  <Pages>4</Pages>
  <Words>1155</Words>
  <Characters>6588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325</cp:revision>
  <dcterms:created xsi:type="dcterms:W3CDTF">2022-04-24T07:40:00Z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